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36"/>
          <w:szCs w:val="48"/>
        </w:rPr>
      </w:pPr>
      <w:r>
        <w:rPr>
          <w:rFonts w:ascii="宋体" w:hAnsi="宋体" w:eastAsia="宋体" w:cs="宋体"/>
          <w:b/>
          <w:bCs/>
          <w:kern w:val="36"/>
          <w:sz w:val="36"/>
          <w:szCs w:val="48"/>
        </w:rPr>
        <w:t>西南财经大学博士研究生中期考核管理办法（试行）</w:t>
      </w:r>
    </w:p>
    <w:p>
      <w:pPr>
        <w:widowControl/>
        <w:spacing w:before="100" w:beforeAutospacing="1" w:after="100" w:afterAutospacing="1" w:line="60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2016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月制定）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第一章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总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则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第一条 为进一步提高博士生培养质量，规范博士生培养过程，完善博士生培养制度，根据教育部有关文件精神和我校实际情况，制定本办法。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第二条 中期考核是在博士生课程学习结束之后，对其入学以来思想政治表现、课程学习情况和科研工作能力等方面进行一次综合考核。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第二章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考核对象及时间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第三条 修满培养方案所规定课程学分的博士生。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第四条 中期考核原则上在取得博士生学籍后的第四学期进行。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第三章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考核内容及形式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第五条 思想政治与学术道德考核。主要考核博士生平时的政治学习、思想表现、学术道德和组织纪律等，由各培养单位作出书面评价。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第六条 学科综合考核。考核内容和方式由各培养单位根据学科特点自定,鼓励有条件的培养单位单独或者联合举行学科综合考试。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第七条 开题报告考核。各培养单位于每年5月1日或10月1日前，对参加中期考核的博士研究生的开题报告进行评审，并将评审情况报送研究生院，由研究生院组织校外专家对开题报告抽查复审。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第四章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考核结果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第八条 中期考核的结果分为通过和不通过。 中期考核由思想政治与学术道德考核、学科综合考核和开题报告考核组成，任何一项考核未通过，即为不通过。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第九条 研究生院负责中期考核结果的认定，对考核结果进行不少于5个工作日的公示。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第十条 通过中期考核的博士生即进入学位论文撰写阶段，未通过中期考核的博士生参加下一次考核。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第五章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考核组织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第十一条 各培养单位成立博士生中期考核领导小组，负责本单位的思想政治与学术道德考核和学科综合考核，组织开题报告评审。各单位可参照自身学科专业特点根据本办法制定中期考核实施细则，中期考核实施细则须提前向考生公布，并报研究生院备案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第六章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附则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第十二条 本办法自公布之日起执行，原“西南财经大学研究生中期考核实施办法”自行废止。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第十三条 本办法由研究生院负责解释。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8"/>
    <w:rsid w:val="00636F98"/>
    <w:rsid w:val="00C67DEF"/>
    <w:rsid w:val="570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2017-04-12T03:13:00Z</dcterms:created>
  <dc:creator>123</dc:creator>
  <cp:lastModifiedBy>jjh</cp:lastModifiedBy>
  <dcterms:modified xsi:type="dcterms:W3CDTF">2018-03-21T06:23:59Z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