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005F98">
      <w:pPr>
        <w:jc w:val="center"/>
        <w:rPr>
          <w:b/>
          <w:color w:val="000000"/>
          <w:sz w:val="36"/>
          <w:szCs w:val="28"/>
        </w:rPr>
      </w:pPr>
      <w:r>
        <w:rPr>
          <w:rFonts w:hint="eastAsia"/>
          <w:b/>
          <w:color w:val="000000"/>
          <w:sz w:val="36"/>
          <w:szCs w:val="28"/>
        </w:rPr>
        <w:t>金融学院202</w:t>
      </w:r>
      <w:r>
        <w:rPr>
          <w:rFonts w:hint="eastAsia"/>
          <w:b/>
          <w:color w:val="000000"/>
          <w:sz w:val="36"/>
          <w:szCs w:val="28"/>
          <w:lang w:val="en-US" w:eastAsia="zh-CN"/>
        </w:rPr>
        <w:t>2</w:t>
      </w:r>
      <w:r>
        <w:rPr>
          <w:rFonts w:hint="eastAsia"/>
          <w:b/>
          <w:color w:val="000000"/>
          <w:sz w:val="36"/>
          <w:szCs w:val="28"/>
        </w:rPr>
        <w:t>级本科生毕业论文选题指南</w:t>
      </w:r>
    </w:p>
    <w:p w14:paraId="0B5F81B2">
      <w:pPr>
        <w:jc w:val="center"/>
        <w:rPr>
          <w:b/>
          <w:color w:val="000000"/>
          <w:sz w:val="28"/>
          <w:szCs w:val="28"/>
        </w:rPr>
      </w:pPr>
    </w:p>
    <w:p w14:paraId="7721FD62">
      <w:pPr>
        <w:widowControl/>
        <w:ind w:firstLine="420" w:firstLineChars="200"/>
        <w:rPr>
          <w:color w:val="FF0000"/>
          <w:szCs w:val="21"/>
        </w:rPr>
      </w:pPr>
      <w:r>
        <w:rPr>
          <w:rFonts w:hint="eastAsia"/>
          <w:color w:val="FF0000"/>
          <w:szCs w:val="21"/>
        </w:rPr>
        <w:t>注：以下题目只是选题的提示性方向，所有方向均需再细化，</w:t>
      </w:r>
      <w:r>
        <w:rPr>
          <w:color w:val="FF0000"/>
          <w:szCs w:val="21"/>
        </w:rPr>
        <w:t>切勿直接以方向为题</w:t>
      </w:r>
      <w:r>
        <w:rPr>
          <w:rFonts w:hint="eastAsia"/>
          <w:color w:val="FF0000"/>
          <w:szCs w:val="21"/>
        </w:rPr>
        <w:t>。也可以自己拟定题目，但是必须经指导老师的同意，必须符合专业培养目标要求。</w:t>
      </w:r>
    </w:p>
    <w:p w14:paraId="52080CD1">
      <w:pPr>
        <w:pStyle w:val="2"/>
        <w:ind w:left="-359" w:leftChars="-171" w:firstLine="180" w:firstLineChars="50"/>
        <w:rPr>
          <w:rFonts w:ascii="Times New Roman" w:hAnsi="Times New Roman" w:eastAsia="楷体_GB2312" w:cs="宋体"/>
          <w:color w:val="000000"/>
          <w:sz w:val="36"/>
          <w:szCs w:val="36"/>
        </w:rPr>
      </w:pPr>
    </w:p>
    <w:p w14:paraId="3D81B199">
      <w:pPr>
        <w:pStyle w:val="2"/>
        <w:ind w:left="-359" w:leftChars="-171" w:firstLine="181" w:firstLineChars="50"/>
        <w:rPr>
          <w:rFonts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第一部分</w:t>
      </w:r>
    </w:p>
    <w:p w14:paraId="2B5BD8F8">
      <w:pPr>
        <w:pStyle w:val="2"/>
        <w:ind w:left="-359" w:leftChars="-171" w:firstLine="181" w:firstLineChars="50"/>
        <w:rPr>
          <w:rFonts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 xml:space="preserve">【金融学】选题指南  </w:t>
      </w:r>
    </w:p>
    <w:p w14:paraId="717441D6">
      <w:pPr>
        <w:widowControl/>
        <w:numPr>
          <w:ilvl w:val="0"/>
          <w:numId w:val="1"/>
        </w:numPr>
        <w:rPr>
          <w:rFonts w:hint="eastAsia" w:cs="宋体"/>
          <w:color w:val="000000"/>
          <w:sz w:val="24"/>
        </w:rPr>
      </w:pPr>
      <w:r>
        <w:rPr>
          <w:rFonts w:hint="eastAsia" w:cs="宋体"/>
          <w:color w:val="000000"/>
          <w:sz w:val="24"/>
        </w:rPr>
        <w:t>科技金融问题研究</w:t>
      </w:r>
    </w:p>
    <w:p w14:paraId="7DE496D4">
      <w:pPr>
        <w:widowControl/>
        <w:numPr>
          <w:ilvl w:val="0"/>
          <w:numId w:val="1"/>
        </w:numPr>
        <w:rPr>
          <w:rFonts w:cs="宋体"/>
          <w:color w:val="000000"/>
          <w:sz w:val="24"/>
        </w:rPr>
      </w:pPr>
      <w:r>
        <w:rPr>
          <w:rFonts w:hint="eastAsia" w:cs="宋体"/>
          <w:color w:val="000000"/>
          <w:sz w:val="24"/>
        </w:rPr>
        <w:t>绿色金融问题研究</w:t>
      </w:r>
    </w:p>
    <w:p w14:paraId="0C5CF2F0">
      <w:pPr>
        <w:widowControl/>
        <w:numPr>
          <w:ilvl w:val="0"/>
          <w:numId w:val="1"/>
        </w:numPr>
        <w:rPr>
          <w:rFonts w:cs="宋体"/>
          <w:color w:val="000000"/>
          <w:sz w:val="24"/>
        </w:rPr>
      </w:pPr>
      <w:r>
        <w:rPr>
          <w:rFonts w:hint="eastAsia" w:cs="宋体"/>
          <w:color w:val="000000"/>
          <w:sz w:val="24"/>
        </w:rPr>
        <w:t>普惠金融问题研究</w:t>
      </w:r>
    </w:p>
    <w:p w14:paraId="4AE48544">
      <w:pPr>
        <w:widowControl/>
        <w:numPr>
          <w:ilvl w:val="0"/>
          <w:numId w:val="1"/>
        </w:numPr>
        <w:rPr>
          <w:rFonts w:cs="宋体"/>
          <w:color w:val="000000"/>
          <w:sz w:val="24"/>
        </w:rPr>
      </w:pPr>
      <w:r>
        <w:rPr>
          <w:rFonts w:hint="eastAsia" w:cs="宋体"/>
          <w:color w:val="000000"/>
          <w:sz w:val="24"/>
        </w:rPr>
        <w:t>养老金融问题研究</w:t>
      </w:r>
    </w:p>
    <w:p w14:paraId="643DE91E">
      <w:pPr>
        <w:widowControl/>
        <w:numPr>
          <w:ilvl w:val="0"/>
          <w:numId w:val="1"/>
        </w:numPr>
        <w:rPr>
          <w:rFonts w:cs="宋体"/>
          <w:color w:val="000000"/>
          <w:sz w:val="24"/>
        </w:rPr>
      </w:pPr>
      <w:r>
        <w:rPr>
          <w:rFonts w:hint="eastAsia" w:cs="宋体"/>
          <w:color w:val="000000"/>
          <w:sz w:val="24"/>
        </w:rPr>
        <w:t>数字金融问题</w:t>
      </w:r>
    </w:p>
    <w:p w14:paraId="01DA938D">
      <w:pPr>
        <w:widowControl/>
        <w:numPr>
          <w:ilvl w:val="0"/>
          <w:numId w:val="1"/>
        </w:numPr>
        <w:rPr>
          <w:rFonts w:hint="eastAsia" w:cs="宋体"/>
          <w:color w:val="000000"/>
          <w:sz w:val="24"/>
        </w:rPr>
      </w:pPr>
      <w:r>
        <w:rPr>
          <w:rFonts w:hint="eastAsia" w:cs="宋体"/>
          <w:color w:val="000000"/>
          <w:sz w:val="24"/>
        </w:rPr>
        <w:t>数字普惠金融问题研究</w:t>
      </w:r>
    </w:p>
    <w:p w14:paraId="0A7B4168">
      <w:pPr>
        <w:widowControl/>
        <w:numPr>
          <w:ilvl w:val="0"/>
          <w:numId w:val="1"/>
        </w:numPr>
        <w:rPr>
          <w:rFonts w:cs="宋体"/>
          <w:color w:val="000000"/>
          <w:sz w:val="24"/>
        </w:rPr>
      </w:pPr>
      <w:r>
        <w:rPr>
          <w:rFonts w:hint="eastAsia" w:cs="宋体"/>
          <w:color w:val="000000"/>
          <w:sz w:val="24"/>
        </w:rPr>
        <w:t>碳排放权交易市场研究</w:t>
      </w:r>
    </w:p>
    <w:p w14:paraId="14F033A6">
      <w:pPr>
        <w:widowControl/>
        <w:numPr>
          <w:ilvl w:val="0"/>
          <w:numId w:val="1"/>
        </w:numPr>
        <w:rPr>
          <w:rFonts w:cs="宋体"/>
          <w:color w:val="000000"/>
          <w:sz w:val="24"/>
        </w:rPr>
      </w:pPr>
      <w:r>
        <w:rPr>
          <w:rFonts w:hint="eastAsia" w:cs="宋体"/>
          <w:color w:val="000000"/>
          <w:sz w:val="24"/>
        </w:rPr>
        <w:t>绿色信贷问题研究</w:t>
      </w:r>
    </w:p>
    <w:p w14:paraId="7AEBA3F1">
      <w:pPr>
        <w:widowControl/>
        <w:numPr>
          <w:ilvl w:val="0"/>
          <w:numId w:val="1"/>
        </w:numPr>
        <w:rPr>
          <w:rFonts w:cs="宋体"/>
          <w:color w:val="000000"/>
          <w:sz w:val="24"/>
        </w:rPr>
      </w:pPr>
      <w:r>
        <w:rPr>
          <w:rFonts w:hint="eastAsia" w:cs="宋体"/>
          <w:color w:val="000000"/>
          <w:sz w:val="24"/>
        </w:rPr>
        <w:t>绿色债券问题研究</w:t>
      </w:r>
    </w:p>
    <w:p w14:paraId="0AA90037">
      <w:pPr>
        <w:widowControl/>
        <w:numPr>
          <w:ilvl w:val="0"/>
          <w:numId w:val="1"/>
        </w:numPr>
        <w:rPr>
          <w:rFonts w:cs="宋体"/>
          <w:color w:val="000000"/>
          <w:sz w:val="24"/>
        </w:rPr>
      </w:pPr>
      <w:r>
        <w:rPr>
          <w:rFonts w:hint="eastAsia" w:cs="宋体"/>
          <w:color w:val="000000"/>
          <w:sz w:val="24"/>
        </w:rPr>
        <w:t>ESG相关问题研究</w:t>
      </w:r>
    </w:p>
    <w:p w14:paraId="178B2863">
      <w:pPr>
        <w:widowControl/>
        <w:numPr>
          <w:ilvl w:val="0"/>
          <w:numId w:val="1"/>
        </w:numPr>
        <w:rPr>
          <w:rFonts w:cs="宋体"/>
          <w:color w:val="000000"/>
          <w:sz w:val="24"/>
        </w:rPr>
      </w:pPr>
      <w:r>
        <w:rPr>
          <w:rFonts w:hint="eastAsia" w:cs="宋体"/>
          <w:color w:val="000000"/>
          <w:sz w:val="24"/>
        </w:rPr>
        <w:t>成渝双城经济圈相关金融问题研究</w:t>
      </w:r>
    </w:p>
    <w:p w14:paraId="616572D2">
      <w:pPr>
        <w:widowControl/>
        <w:numPr>
          <w:ilvl w:val="0"/>
          <w:numId w:val="1"/>
        </w:numPr>
        <w:rPr>
          <w:rFonts w:cs="宋体"/>
          <w:color w:val="000000"/>
          <w:sz w:val="24"/>
        </w:rPr>
      </w:pPr>
      <w:r>
        <w:rPr>
          <w:rFonts w:hint="eastAsia" w:cs="宋体"/>
          <w:color w:val="000000"/>
          <w:sz w:val="24"/>
        </w:rPr>
        <w:t>金融科技公司监管问题研究</w:t>
      </w:r>
    </w:p>
    <w:p w14:paraId="1B02C2E8">
      <w:pPr>
        <w:widowControl/>
        <w:numPr>
          <w:ilvl w:val="0"/>
          <w:numId w:val="1"/>
        </w:numPr>
        <w:rPr>
          <w:rFonts w:cs="宋体"/>
          <w:color w:val="000000"/>
          <w:sz w:val="24"/>
        </w:rPr>
      </w:pPr>
      <w:r>
        <w:rPr>
          <w:rFonts w:hint="eastAsia" w:cs="宋体"/>
          <w:color w:val="000000"/>
          <w:sz w:val="24"/>
        </w:rPr>
        <w:t>金融科技背景下商业银行转型策略研究</w:t>
      </w:r>
    </w:p>
    <w:p w14:paraId="5EE5745C">
      <w:pPr>
        <w:widowControl/>
        <w:numPr>
          <w:ilvl w:val="0"/>
          <w:numId w:val="1"/>
        </w:numPr>
        <w:rPr>
          <w:rFonts w:cs="宋体"/>
          <w:color w:val="000000"/>
          <w:kern w:val="0"/>
          <w:sz w:val="24"/>
        </w:rPr>
      </w:pPr>
      <w:r>
        <w:rPr>
          <w:rFonts w:hint="eastAsia" w:cs="宋体"/>
          <w:color w:val="000000"/>
          <w:kern w:val="0"/>
          <w:sz w:val="24"/>
        </w:rPr>
        <w:t>“新常态”下我国货币政策转型研究</w:t>
      </w:r>
    </w:p>
    <w:p w14:paraId="774AD9F1">
      <w:pPr>
        <w:widowControl/>
        <w:numPr>
          <w:ilvl w:val="0"/>
          <w:numId w:val="1"/>
        </w:numPr>
        <w:rPr>
          <w:rFonts w:cs="宋体"/>
          <w:color w:val="000000"/>
          <w:kern w:val="0"/>
          <w:sz w:val="24"/>
        </w:rPr>
      </w:pPr>
      <w:r>
        <w:rPr>
          <w:rFonts w:hint="eastAsia" w:cs="宋体"/>
          <w:color w:val="000000"/>
          <w:kern w:val="0"/>
          <w:sz w:val="24"/>
        </w:rPr>
        <w:t>我国金融监管体制改革问题研究</w:t>
      </w:r>
    </w:p>
    <w:p w14:paraId="393A74AD">
      <w:pPr>
        <w:widowControl/>
        <w:numPr>
          <w:ilvl w:val="0"/>
          <w:numId w:val="1"/>
        </w:numPr>
        <w:rPr>
          <w:rFonts w:cs="宋体"/>
          <w:color w:val="000000"/>
          <w:kern w:val="0"/>
          <w:sz w:val="24"/>
        </w:rPr>
      </w:pPr>
      <w:r>
        <w:rPr>
          <w:rFonts w:hint="eastAsia" w:cs="宋体"/>
          <w:color w:val="000000"/>
          <w:kern w:val="0"/>
          <w:sz w:val="24"/>
        </w:rPr>
        <w:t>影子银行对货币政策影响研究</w:t>
      </w:r>
    </w:p>
    <w:p w14:paraId="7766D0E4">
      <w:pPr>
        <w:widowControl/>
        <w:numPr>
          <w:ilvl w:val="0"/>
          <w:numId w:val="1"/>
        </w:numPr>
        <w:rPr>
          <w:rFonts w:cs="宋体"/>
          <w:color w:val="000000"/>
          <w:kern w:val="0"/>
          <w:sz w:val="24"/>
        </w:rPr>
      </w:pPr>
      <w:r>
        <w:rPr>
          <w:rFonts w:hint="eastAsia" w:cs="宋体"/>
          <w:color w:val="000000"/>
          <w:kern w:val="0"/>
          <w:sz w:val="24"/>
        </w:rPr>
        <w:t>影子银行对我国金融稳定的影响研究</w:t>
      </w:r>
    </w:p>
    <w:p w14:paraId="59F12D4B">
      <w:pPr>
        <w:widowControl/>
        <w:numPr>
          <w:ilvl w:val="0"/>
          <w:numId w:val="1"/>
        </w:numPr>
        <w:rPr>
          <w:rFonts w:cs="宋体"/>
          <w:color w:val="000000"/>
          <w:kern w:val="0"/>
          <w:sz w:val="24"/>
        </w:rPr>
      </w:pPr>
      <w:r>
        <w:rPr>
          <w:rFonts w:hint="eastAsia" w:cs="宋体"/>
          <w:color w:val="000000"/>
          <w:kern w:val="0"/>
          <w:sz w:val="24"/>
        </w:rPr>
        <w:t>我国公司债券市场发展研究</w:t>
      </w:r>
    </w:p>
    <w:p w14:paraId="361FA910">
      <w:pPr>
        <w:widowControl/>
        <w:numPr>
          <w:ilvl w:val="0"/>
          <w:numId w:val="1"/>
        </w:numPr>
        <w:rPr>
          <w:rFonts w:cs="宋体"/>
          <w:color w:val="000000"/>
          <w:kern w:val="0"/>
          <w:sz w:val="24"/>
        </w:rPr>
      </w:pPr>
      <w:r>
        <w:rPr>
          <w:rFonts w:hint="eastAsia" w:cs="宋体"/>
          <w:color w:val="000000"/>
          <w:kern w:val="0"/>
          <w:sz w:val="24"/>
        </w:rPr>
        <w:t>我国债券市场的流动性研究</w:t>
      </w:r>
    </w:p>
    <w:p w14:paraId="0E66AB85">
      <w:pPr>
        <w:widowControl/>
        <w:numPr>
          <w:ilvl w:val="0"/>
          <w:numId w:val="1"/>
        </w:numPr>
        <w:rPr>
          <w:rFonts w:cs="宋体"/>
          <w:color w:val="000000"/>
          <w:kern w:val="0"/>
          <w:sz w:val="24"/>
        </w:rPr>
      </w:pPr>
      <w:r>
        <w:rPr>
          <w:rFonts w:hint="eastAsia" w:cs="宋体"/>
          <w:color w:val="000000"/>
          <w:kern w:val="0"/>
          <w:sz w:val="24"/>
        </w:rPr>
        <w:t>我国中小企业债券市场发展问题研究</w:t>
      </w:r>
    </w:p>
    <w:p w14:paraId="3B1772D6">
      <w:pPr>
        <w:widowControl/>
        <w:numPr>
          <w:ilvl w:val="0"/>
          <w:numId w:val="1"/>
        </w:numPr>
        <w:rPr>
          <w:rFonts w:cs="宋体"/>
          <w:color w:val="000000"/>
          <w:kern w:val="0"/>
          <w:sz w:val="24"/>
        </w:rPr>
      </w:pPr>
      <w:r>
        <w:rPr>
          <w:rFonts w:hint="eastAsia" w:cs="宋体"/>
          <w:color w:val="000000"/>
          <w:kern w:val="0"/>
          <w:sz w:val="24"/>
        </w:rPr>
        <w:t>我国债券市场分割问题研究</w:t>
      </w:r>
    </w:p>
    <w:p w14:paraId="76578EF6">
      <w:pPr>
        <w:widowControl/>
        <w:numPr>
          <w:ilvl w:val="0"/>
          <w:numId w:val="1"/>
        </w:numPr>
        <w:rPr>
          <w:rFonts w:cs="宋体"/>
          <w:color w:val="000000"/>
          <w:kern w:val="0"/>
          <w:sz w:val="24"/>
        </w:rPr>
      </w:pPr>
      <w:r>
        <w:rPr>
          <w:rFonts w:hint="eastAsia" w:cs="宋体"/>
          <w:color w:val="000000"/>
          <w:kern w:val="0"/>
          <w:sz w:val="24"/>
        </w:rPr>
        <w:t>我国证券投资基金业绩评价研究</w:t>
      </w:r>
    </w:p>
    <w:p w14:paraId="14675BD9">
      <w:pPr>
        <w:widowControl/>
        <w:numPr>
          <w:ilvl w:val="0"/>
          <w:numId w:val="1"/>
        </w:numPr>
        <w:rPr>
          <w:rFonts w:cs="宋体"/>
          <w:color w:val="000000"/>
          <w:kern w:val="0"/>
          <w:sz w:val="24"/>
        </w:rPr>
      </w:pPr>
      <w:r>
        <w:rPr>
          <w:rFonts w:hint="eastAsia" w:cs="宋体"/>
          <w:color w:val="000000"/>
          <w:kern w:val="0"/>
          <w:sz w:val="24"/>
        </w:rPr>
        <w:t>我国上市公司关联交易类型和效应分析</w:t>
      </w:r>
    </w:p>
    <w:p w14:paraId="4B9B9125">
      <w:pPr>
        <w:widowControl/>
        <w:numPr>
          <w:ilvl w:val="0"/>
          <w:numId w:val="1"/>
        </w:numPr>
        <w:rPr>
          <w:rFonts w:cs="宋体"/>
          <w:color w:val="000000"/>
          <w:kern w:val="0"/>
          <w:sz w:val="24"/>
        </w:rPr>
      </w:pPr>
      <w:r>
        <w:rPr>
          <w:rFonts w:hint="eastAsia" w:cs="宋体"/>
          <w:color w:val="000000"/>
          <w:kern w:val="0"/>
          <w:sz w:val="24"/>
        </w:rPr>
        <w:t>我国投资者风险偏好研究</w:t>
      </w:r>
    </w:p>
    <w:p w14:paraId="41E0A8F2">
      <w:pPr>
        <w:widowControl/>
        <w:numPr>
          <w:ilvl w:val="0"/>
          <w:numId w:val="1"/>
        </w:numPr>
        <w:rPr>
          <w:rFonts w:cs="宋体"/>
          <w:color w:val="000000"/>
          <w:kern w:val="0"/>
          <w:sz w:val="24"/>
        </w:rPr>
      </w:pPr>
      <w:r>
        <w:rPr>
          <w:rFonts w:hint="eastAsia" w:cs="宋体"/>
          <w:color w:val="000000"/>
          <w:kern w:val="0"/>
          <w:sz w:val="24"/>
        </w:rPr>
        <w:t>我国证券公司重组模式研究</w:t>
      </w:r>
    </w:p>
    <w:p w14:paraId="1446F714">
      <w:pPr>
        <w:widowControl/>
        <w:numPr>
          <w:ilvl w:val="0"/>
          <w:numId w:val="1"/>
        </w:numPr>
        <w:rPr>
          <w:rFonts w:cs="宋体"/>
          <w:color w:val="000000"/>
          <w:sz w:val="24"/>
        </w:rPr>
      </w:pPr>
      <w:r>
        <w:rPr>
          <w:rFonts w:hint="eastAsia" w:cs="宋体"/>
          <w:color w:val="000000"/>
          <w:sz w:val="24"/>
        </w:rPr>
        <w:t>金融脱媒与我国商业银行的转型研究</w:t>
      </w:r>
    </w:p>
    <w:p w14:paraId="6EC733BA">
      <w:pPr>
        <w:widowControl/>
        <w:numPr>
          <w:ilvl w:val="0"/>
          <w:numId w:val="1"/>
        </w:numPr>
        <w:rPr>
          <w:rFonts w:cs="宋体"/>
          <w:color w:val="000000"/>
          <w:sz w:val="24"/>
        </w:rPr>
      </w:pPr>
      <w:r>
        <w:rPr>
          <w:rFonts w:hint="eastAsia" w:cs="宋体"/>
          <w:color w:val="000000"/>
          <w:sz w:val="24"/>
        </w:rPr>
        <w:t>供给侧改革背景下我国商业银行信贷风险的防控</w:t>
      </w:r>
    </w:p>
    <w:p w14:paraId="7985516C">
      <w:pPr>
        <w:widowControl/>
        <w:numPr>
          <w:ilvl w:val="0"/>
          <w:numId w:val="1"/>
        </w:numPr>
        <w:rPr>
          <w:rFonts w:cs="宋体"/>
          <w:color w:val="000000"/>
          <w:sz w:val="24"/>
        </w:rPr>
      </w:pPr>
      <w:r>
        <w:rPr>
          <w:rFonts w:hint="eastAsia" w:cs="宋体"/>
          <w:color w:val="000000"/>
          <w:sz w:val="24"/>
        </w:rPr>
        <w:t>我国商业银行投贷联动业务问题研究</w:t>
      </w:r>
    </w:p>
    <w:p w14:paraId="1E4D6B07">
      <w:pPr>
        <w:widowControl/>
        <w:numPr>
          <w:ilvl w:val="0"/>
          <w:numId w:val="1"/>
        </w:numPr>
        <w:rPr>
          <w:rFonts w:cs="宋体"/>
          <w:color w:val="000000"/>
          <w:sz w:val="24"/>
        </w:rPr>
      </w:pPr>
      <w:r>
        <w:rPr>
          <w:rFonts w:hint="eastAsia" w:cs="宋体"/>
          <w:color w:val="000000"/>
          <w:sz w:val="24"/>
        </w:rPr>
        <w:t>我国商业银行个人理财业务问题研究</w:t>
      </w:r>
    </w:p>
    <w:p w14:paraId="474118A6">
      <w:pPr>
        <w:widowControl/>
        <w:numPr>
          <w:ilvl w:val="0"/>
          <w:numId w:val="1"/>
        </w:numPr>
        <w:rPr>
          <w:rFonts w:cs="宋体"/>
          <w:color w:val="000000"/>
          <w:sz w:val="24"/>
        </w:rPr>
      </w:pPr>
      <w:r>
        <w:rPr>
          <w:rFonts w:hint="eastAsia" w:cs="宋体"/>
          <w:color w:val="000000"/>
          <w:sz w:val="24"/>
        </w:rPr>
        <w:t>我国商业银行私人银行业务问题研究</w:t>
      </w:r>
    </w:p>
    <w:p w14:paraId="2FE65587">
      <w:pPr>
        <w:widowControl/>
        <w:numPr>
          <w:ilvl w:val="0"/>
          <w:numId w:val="1"/>
        </w:numPr>
        <w:rPr>
          <w:rFonts w:cs="宋体"/>
          <w:color w:val="000000"/>
          <w:sz w:val="24"/>
        </w:rPr>
      </w:pPr>
      <w:r>
        <w:rPr>
          <w:rFonts w:hint="eastAsia" w:cs="宋体"/>
          <w:color w:val="000000"/>
          <w:sz w:val="24"/>
        </w:rPr>
        <w:t>我国商业银行小微企业金融服务研究</w:t>
      </w:r>
    </w:p>
    <w:p w14:paraId="46450FE1">
      <w:pPr>
        <w:widowControl/>
        <w:numPr>
          <w:ilvl w:val="0"/>
          <w:numId w:val="1"/>
        </w:numPr>
        <w:rPr>
          <w:rFonts w:cs="宋体"/>
          <w:color w:val="000000"/>
          <w:sz w:val="24"/>
        </w:rPr>
      </w:pPr>
      <w:r>
        <w:rPr>
          <w:rFonts w:hint="eastAsia" w:cs="宋体"/>
          <w:color w:val="000000"/>
          <w:sz w:val="24"/>
        </w:rPr>
        <w:t>我国商业银行社会责任研究</w:t>
      </w:r>
    </w:p>
    <w:p w14:paraId="27D692E1">
      <w:pPr>
        <w:widowControl/>
        <w:numPr>
          <w:ilvl w:val="0"/>
          <w:numId w:val="1"/>
        </w:numPr>
        <w:rPr>
          <w:rFonts w:cs="宋体"/>
          <w:color w:val="000000"/>
          <w:sz w:val="24"/>
        </w:rPr>
      </w:pPr>
      <w:r>
        <w:rPr>
          <w:rFonts w:hint="eastAsia" w:cs="宋体"/>
          <w:color w:val="000000"/>
          <w:sz w:val="24"/>
        </w:rPr>
        <w:t>我国商业银行信用风险管理研究</w:t>
      </w:r>
    </w:p>
    <w:p w14:paraId="041F0254">
      <w:pPr>
        <w:widowControl/>
        <w:numPr>
          <w:ilvl w:val="0"/>
          <w:numId w:val="1"/>
        </w:numPr>
        <w:rPr>
          <w:rFonts w:cs="宋体"/>
          <w:color w:val="000000"/>
          <w:sz w:val="24"/>
        </w:rPr>
      </w:pPr>
      <w:r>
        <w:rPr>
          <w:rFonts w:hint="eastAsia" w:cs="宋体"/>
          <w:color w:val="000000"/>
          <w:sz w:val="24"/>
        </w:rPr>
        <w:t>我国商业银行利率风险管理研究</w:t>
      </w:r>
    </w:p>
    <w:p w14:paraId="1659EEBF">
      <w:pPr>
        <w:widowControl/>
        <w:numPr>
          <w:ilvl w:val="0"/>
          <w:numId w:val="1"/>
        </w:numPr>
        <w:rPr>
          <w:rFonts w:cs="宋体"/>
          <w:color w:val="000000"/>
          <w:sz w:val="24"/>
        </w:rPr>
      </w:pPr>
      <w:r>
        <w:rPr>
          <w:rFonts w:hint="eastAsia" w:cs="宋体"/>
          <w:color w:val="000000"/>
          <w:sz w:val="24"/>
        </w:rPr>
        <w:t>我国商业银行操作风险防范研究</w:t>
      </w:r>
    </w:p>
    <w:p w14:paraId="6F03F89E">
      <w:pPr>
        <w:widowControl/>
        <w:numPr>
          <w:ilvl w:val="0"/>
          <w:numId w:val="1"/>
        </w:numPr>
        <w:rPr>
          <w:rFonts w:cs="宋体"/>
          <w:color w:val="000000"/>
          <w:sz w:val="24"/>
        </w:rPr>
      </w:pPr>
      <w:r>
        <w:rPr>
          <w:rFonts w:hint="eastAsia" w:cs="宋体"/>
          <w:color w:val="000000"/>
          <w:sz w:val="24"/>
        </w:rPr>
        <w:t>我国商业银行零售业务发展研究</w:t>
      </w:r>
    </w:p>
    <w:p w14:paraId="203D3CDB">
      <w:pPr>
        <w:widowControl/>
        <w:numPr>
          <w:ilvl w:val="0"/>
          <w:numId w:val="1"/>
        </w:numPr>
        <w:rPr>
          <w:rFonts w:cs="宋体"/>
          <w:color w:val="000000"/>
          <w:sz w:val="24"/>
        </w:rPr>
      </w:pPr>
      <w:r>
        <w:rPr>
          <w:rFonts w:hint="eastAsia" w:cs="宋体"/>
          <w:color w:val="000000"/>
          <w:sz w:val="24"/>
        </w:rPr>
        <w:t>我国商业银行住房按揭贷款风险管理研究</w:t>
      </w:r>
    </w:p>
    <w:p w14:paraId="3B5753BF">
      <w:pPr>
        <w:widowControl/>
        <w:numPr>
          <w:ilvl w:val="0"/>
          <w:numId w:val="1"/>
        </w:numPr>
        <w:rPr>
          <w:rFonts w:cs="宋体"/>
          <w:color w:val="000000"/>
          <w:sz w:val="24"/>
        </w:rPr>
      </w:pPr>
      <w:r>
        <w:rPr>
          <w:rFonts w:hint="eastAsia" w:cs="宋体"/>
          <w:color w:val="000000"/>
          <w:sz w:val="24"/>
        </w:rPr>
        <w:t>外资银行进入对我国商业银行竞争行为影响研究</w:t>
      </w:r>
    </w:p>
    <w:p w14:paraId="3236DE7A">
      <w:pPr>
        <w:widowControl/>
        <w:numPr>
          <w:ilvl w:val="0"/>
          <w:numId w:val="1"/>
        </w:numPr>
        <w:rPr>
          <w:rFonts w:cs="宋体"/>
          <w:color w:val="000000"/>
          <w:sz w:val="24"/>
        </w:rPr>
      </w:pPr>
      <w:r>
        <w:rPr>
          <w:rFonts w:hint="eastAsia" w:cs="宋体"/>
          <w:color w:val="000000"/>
          <w:sz w:val="24"/>
        </w:rPr>
        <w:t>我国农村商业银行贷款风险管理研究</w:t>
      </w:r>
    </w:p>
    <w:p w14:paraId="7EEA9276">
      <w:pPr>
        <w:widowControl/>
        <w:numPr>
          <w:ilvl w:val="0"/>
          <w:numId w:val="1"/>
        </w:numPr>
        <w:rPr>
          <w:rFonts w:cs="宋体"/>
          <w:color w:val="000000"/>
          <w:sz w:val="24"/>
        </w:rPr>
      </w:pPr>
      <w:r>
        <w:rPr>
          <w:rFonts w:hint="eastAsia" w:cs="宋体"/>
          <w:color w:val="000000"/>
          <w:sz w:val="24"/>
        </w:rPr>
        <w:t>我国发展多层次资本市场问题研究</w:t>
      </w:r>
    </w:p>
    <w:p w14:paraId="6D263CA4">
      <w:pPr>
        <w:widowControl/>
        <w:numPr>
          <w:ilvl w:val="0"/>
          <w:numId w:val="1"/>
        </w:numPr>
        <w:rPr>
          <w:rFonts w:cs="宋体"/>
          <w:color w:val="000000"/>
          <w:sz w:val="24"/>
        </w:rPr>
      </w:pPr>
      <w:r>
        <w:rPr>
          <w:rFonts w:hint="eastAsia" w:cs="宋体"/>
          <w:color w:val="000000"/>
          <w:sz w:val="24"/>
        </w:rPr>
        <w:t>构建服务实体经济多层次资本市场的路径选择</w:t>
      </w:r>
    </w:p>
    <w:p w14:paraId="0D4B8C3F">
      <w:pPr>
        <w:widowControl/>
        <w:numPr>
          <w:ilvl w:val="0"/>
          <w:numId w:val="1"/>
        </w:numPr>
        <w:rPr>
          <w:rFonts w:cs="宋体"/>
          <w:color w:val="000000"/>
          <w:sz w:val="24"/>
        </w:rPr>
      </w:pPr>
      <w:r>
        <w:rPr>
          <w:rFonts w:hint="eastAsia" w:cs="宋体"/>
          <w:color w:val="000000"/>
          <w:sz w:val="24"/>
        </w:rPr>
        <w:t>中小企业在新三板市场融资效率研究</w:t>
      </w:r>
    </w:p>
    <w:p w14:paraId="6AFDBC4D">
      <w:pPr>
        <w:widowControl/>
        <w:numPr>
          <w:ilvl w:val="0"/>
          <w:numId w:val="1"/>
        </w:numPr>
        <w:rPr>
          <w:rFonts w:cs="宋体"/>
          <w:color w:val="000000"/>
          <w:sz w:val="24"/>
        </w:rPr>
      </w:pPr>
      <w:r>
        <w:rPr>
          <w:rFonts w:hint="eastAsia" w:cs="宋体"/>
          <w:color w:val="000000"/>
          <w:sz w:val="24"/>
        </w:rPr>
        <w:t>我国新三板市场现行交易制度研究</w:t>
      </w:r>
    </w:p>
    <w:p w14:paraId="3672A479">
      <w:pPr>
        <w:widowControl/>
        <w:numPr>
          <w:ilvl w:val="0"/>
          <w:numId w:val="1"/>
        </w:numPr>
        <w:rPr>
          <w:rFonts w:cs="宋体"/>
          <w:color w:val="000000"/>
          <w:sz w:val="24"/>
        </w:rPr>
      </w:pPr>
      <w:r>
        <w:rPr>
          <w:rFonts w:hint="eastAsia" w:cs="宋体"/>
          <w:color w:val="000000"/>
          <w:sz w:val="24"/>
        </w:rPr>
        <w:t>我国上市公司融资结构与公司治理绩效研究</w:t>
      </w:r>
    </w:p>
    <w:p w14:paraId="141B0B32">
      <w:pPr>
        <w:widowControl/>
        <w:numPr>
          <w:ilvl w:val="0"/>
          <w:numId w:val="1"/>
        </w:numPr>
        <w:rPr>
          <w:rFonts w:cs="宋体"/>
          <w:color w:val="000000"/>
          <w:sz w:val="24"/>
        </w:rPr>
      </w:pPr>
      <w:r>
        <w:rPr>
          <w:rFonts w:hint="eastAsia" w:cs="宋体"/>
          <w:color w:val="000000"/>
          <w:sz w:val="24"/>
        </w:rPr>
        <w:t>上市公司管理层收购及其对公司绩效的影响</w:t>
      </w:r>
    </w:p>
    <w:p w14:paraId="78D4BEE5">
      <w:pPr>
        <w:widowControl/>
        <w:numPr>
          <w:ilvl w:val="0"/>
          <w:numId w:val="1"/>
        </w:numPr>
        <w:rPr>
          <w:rFonts w:cs="宋体"/>
          <w:color w:val="000000"/>
          <w:sz w:val="24"/>
        </w:rPr>
      </w:pPr>
      <w:r>
        <w:rPr>
          <w:rFonts w:hint="eastAsia" w:cs="宋体"/>
          <w:color w:val="000000"/>
          <w:sz w:val="24"/>
        </w:rPr>
        <w:t>我国上市公司信息披露问题研究</w:t>
      </w:r>
    </w:p>
    <w:p w14:paraId="0BAE4EBA">
      <w:pPr>
        <w:widowControl/>
        <w:numPr>
          <w:ilvl w:val="0"/>
          <w:numId w:val="1"/>
        </w:numPr>
        <w:rPr>
          <w:rFonts w:cs="宋体"/>
          <w:color w:val="000000"/>
          <w:sz w:val="24"/>
        </w:rPr>
      </w:pPr>
      <w:r>
        <w:rPr>
          <w:rFonts w:hint="eastAsia" w:cs="宋体"/>
          <w:color w:val="000000"/>
          <w:sz w:val="24"/>
        </w:rPr>
        <w:t>我国证券投资基金创新研究</w:t>
      </w:r>
    </w:p>
    <w:p w14:paraId="310CC952">
      <w:pPr>
        <w:widowControl/>
        <w:numPr>
          <w:ilvl w:val="0"/>
          <w:numId w:val="1"/>
        </w:numPr>
        <w:rPr>
          <w:rFonts w:cs="宋体"/>
          <w:color w:val="000000"/>
          <w:sz w:val="24"/>
        </w:rPr>
      </w:pPr>
      <w:r>
        <w:rPr>
          <w:rFonts w:hint="eastAsia" w:cs="宋体"/>
          <w:color w:val="000000"/>
          <w:sz w:val="24"/>
        </w:rPr>
        <w:t>我国上市公司并购效应研究</w:t>
      </w:r>
    </w:p>
    <w:p w14:paraId="4C1A4776">
      <w:pPr>
        <w:widowControl/>
        <w:numPr>
          <w:ilvl w:val="0"/>
          <w:numId w:val="1"/>
        </w:numPr>
        <w:rPr>
          <w:rFonts w:cs="宋体"/>
          <w:color w:val="000000"/>
          <w:sz w:val="24"/>
        </w:rPr>
      </w:pPr>
      <w:r>
        <w:rPr>
          <w:rFonts w:hint="eastAsia" w:cs="宋体"/>
          <w:color w:val="000000"/>
          <w:sz w:val="24"/>
        </w:rPr>
        <w:t>我国资本市场内幕交易问题研究</w:t>
      </w:r>
    </w:p>
    <w:p w14:paraId="5F50514E">
      <w:pPr>
        <w:widowControl/>
        <w:numPr>
          <w:ilvl w:val="0"/>
          <w:numId w:val="1"/>
        </w:numPr>
        <w:rPr>
          <w:rFonts w:cs="宋体"/>
          <w:color w:val="000000"/>
          <w:sz w:val="24"/>
        </w:rPr>
      </w:pPr>
      <w:r>
        <w:rPr>
          <w:rFonts w:hint="eastAsia" w:cs="宋体"/>
          <w:color w:val="000000"/>
          <w:sz w:val="24"/>
        </w:rPr>
        <w:t>我国普惠金融发展问题研究</w:t>
      </w:r>
    </w:p>
    <w:p w14:paraId="70FDE10F">
      <w:pPr>
        <w:widowControl/>
        <w:numPr>
          <w:ilvl w:val="0"/>
          <w:numId w:val="1"/>
        </w:numPr>
        <w:rPr>
          <w:rFonts w:cs="宋体"/>
          <w:color w:val="000000"/>
          <w:sz w:val="24"/>
        </w:rPr>
      </w:pPr>
      <w:r>
        <w:rPr>
          <w:rFonts w:hint="eastAsia" w:cs="宋体"/>
          <w:color w:val="000000"/>
          <w:sz w:val="24"/>
        </w:rPr>
        <w:t>我国民间金融发展问题研究</w:t>
      </w:r>
    </w:p>
    <w:p w14:paraId="76F6C240">
      <w:pPr>
        <w:widowControl/>
        <w:rPr>
          <w:rFonts w:cs="宋体"/>
          <w:color w:val="000000"/>
          <w:sz w:val="24"/>
        </w:rPr>
      </w:pPr>
    </w:p>
    <w:p w14:paraId="604C5808">
      <w:pPr>
        <w:pStyle w:val="2"/>
        <w:rPr>
          <w:rFonts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第二部分</w:t>
      </w:r>
    </w:p>
    <w:p w14:paraId="13920386">
      <w:pPr>
        <w:pStyle w:val="2"/>
        <w:ind w:left="-359" w:leftChars="-171" w:firstLine="181" w:firstLineChars="50"/>
        <w:rPr>
          <w:rFonts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【金融工程】选题指南</w:t>
      </w:r>
    </w:p>
    <w:p w14:paraId="4AF43D6E">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1.Kelly资产配置策略及应用研究</w:t>
      </w:r>
    </w:p>
    <w:p w14:paraId="52C85907">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2.Black-Litterman资产配置策略及应用研究</w:t>
      </w:r>
    </w:p>
    <w:p w14:paraId="209D8D7D">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3.基于风险平价(Risk parity)的资产配置策略及应用研究</w:t>
      </w:r>
    </w:p>
    <w:p w14:paraId="20C8A717">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4.基于逆优化方法的资产配置策略及应用研究</w:t>
      </w:r>
    </w:p>
    <w:p w14:paraId="49E0DD59">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5.基于多因子模型的中国股票市场定价效应研究</w:t>
      </w:r>
    </w:p>
    <w:p w14:paraId="1E2D0F4F">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6.基于主成分分析方法的中国股票市场投资者情绪度量及定价效应研究</w:t>
      </w:r>
    </w:p>
    <w:p w14:paraId="2436BBC1">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7.基于新闻媒体报道的中国股票市场投资者情绪度量及定价效应研究</w:t>
      </w:r>
    </w:p>
    <w:p w14:paraId="35351A24">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8.中国股票市场羊群行为研究</w:t>
      </w:r>
    </w:p>
    <w:p w14:paraId="4F19F731">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9.Fama-French五因子模型在中国股票市场的适用性研究</w:t>
      </w:r>
    </w:p>
    <w:p w14:paraId="278A1531">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10.中国开放式基金绩效评价与归因分析</w:t>
      </w:r>
    </w:p>
    <w:p w14:paraId="38E6CC00">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11.中国开放式基金绩效持续性研究</w:t>
      </w:r>
    </w:p>
    <w:p w14:paraId="54730859">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12.中国开放式基金“风格漂移”现象研究</w:t>
      </w:r>
    </w:p>
    <w:p w14:paraId="4F6D7E24">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13.中国开放式基金“饰窗效应”研究</w:t>
      </w:r>
    </w:p>
    <w:p w14:paraId="46FA9096">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14.Alpha基金设计问题探索</w:t>
      </w:r>
    </w:p>
    <w:p w14:paraId="4508C51B">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15.分级基金设计问题探索</w:t>
      </w:r>
    </w:p>
    <w:p w14:paraId="54236EEA">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16.FOF设计问题探索</w:t>
      </w:r>
    </w:p>
    <w:p w14:paraId="32244E22">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17.分级基金套利策略设计问题探索</w:t>
      </w:r>
    </w:p>
    <w:p w14:paraId="7DD5FEDA">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18.股指期货套利策略设计问题探索</w:t>
      </w:r>
    </w:p>
    <w:p w14:paraId="03368205">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19.商品期货套利策略设计问题探索</w:t>
      </w:r>
    </w:p>
    <w:p w14:paraId="1A90B891">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20.期权套利策略设计问题探索</w:t>
      </w:r>
    </w:p>
    <w:p w14:paraId="0A2F93CA">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21.期权隐含波动率测度及应用研究</w:t>
      </w:r>
    </w:p>
    <w:p w14:paraId="70515DC4">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22.商业银行风险测度及成因分析</w:t>
      </w:r>
    </w:p>
    <w:p w14:paraId="0A882529">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23.商业银行系统性风险贡献测度及成因分析</w:t>
      </w:r>
    </w:p>
    <w:p w14:paraId="25F9FF11">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24.基于网络模型的系统性风险研究</w:t>
      </w:r>
    </w:p>
    <w:p w14:paraId="2B8063CC">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25.商业银行流动性风险测度及成因分析</w:t>
      </w:r>
    </w:p>
    <w:p w14:paraId="539EE676">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26.基于VaR、CVaR、CDaR等的投资组合优化问题研究</w:t>
      </w:r>
    </w:p>
    <w:p w14:paraId="203FF6B8">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27.基于卷积神经网络（CNN）的量化分析探索</w:t>
      </w:r>
    </w:p>
    <w:p w14:paraId="0F8DF0DE">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28.基于循环神经网络（RNN）的量化分析探索</w:t>
      </w:r>
    </w:p>
    <w:p w14:paraId="1D57B5BA">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29.基于LSTM的量化分析探索</w:t>
      </w:r>
    </w:p>
    <w:p w14:paraId="4D2BF3E0">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30.金融科技监管问题探索</w:t>
      </w:r>
    </w:p>
    <w:p w14:paraId="1E5E6CF3">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3</w:t>
      </w:r>
      <w:r>
        <w:rPr>
          <w:rFonts w:ascii="Times New Roman" w:hAnsi="Times New Roman" w:cs="宋体"/>
          <w:color w:val="000000"/>
          <w:sz w:val="24"/>
          <w:szCs w:val="24"/>
        </w:rPr>
        <w:t>1</w:t>
      </w:r>
      <w:r>
        <w:rPr>
          <w:rFonts w:hint="eastAsia" w:ascii="Times New Roman" w:hAnsi="Times New Roman" w:cs="宋体"/>
          <w:color w:val="000000"/>
          <w:sz w:val="24"/>
          <w:szCs w:val="24"/>
        </w:rPr>
        <w:t>.“气候相关金融风险”测度研究</w:t>
      </w:r>
    </w:p>
    <w:p w14:paraId="67D0F9D9">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3</w:t>
      </w:r>
      <w:r>
        <w:rPr>
          <w:rFonts w:ascii="Times New Roman" w:hAnsi="Times New Roman" w:cs="宋体"/>
          <w:color w:val="000000"/>
          <w:sz w:val="24"/>
          <w:szCs w:val="24"/>
        </w:rPr>
        <w:t>2.</w:t>
      </w:r>
      <w:r>
        <w:rPr>
          <w:rFonts w:hint="eastAsia" w:ascii="Times New Roman" w:hAnsi="Times New Roman" w:cs="宋体"/>
          <w:color w:val="000000"/>
          <w:sz w:val="24"/>
          <w:szCs w:val="24"/>
        </w:rPr>
        <w:t>气候变化对金融稳定的影响研究</w:t>
      </w:r>
    </w:p>
    <w:p w14:paraId="10B7D413">
      <w:pPr>
        <w:pStyle w:val="2"/>
        <w:ind w:left="-359" w:leftChars="-171" w:firstLine="120" w:firstLineChars="50"/>
        <w:rPr>
          <w:rFonts w:ascii="Times New Roman" w:hAnsi="Times New Roman" w:cs="宋体"/>
          <w:color w:val="000000"/>
          <w:sz w:val="24"/>
          <w:szCs w:val="24"/>
        </w:rPr>
      </w:pPr>
      <w:r>
        <w:rPr>
          <w:rFonts w:ascii="Times New Roman" w:hAnsi="Times New Roman" w:cs="宋体"/>
          <w:color w:val="000000"/>
          <w:sz w:val="24"/>
          <w:szCs w:val="24"/>
        </w:rPr>
        <w:t>33.</w:t>
      </w:r>
      <w:r>
        <w:rPr>
          <w:rFonts w:hint="eastAsia" w:ascii="Times New Roman" w:hAnsi="Times New Roman" w:cs="宋体"/>
          <w:color w:val="000000"/>
          <w:sz w:val="24"/>
          <w:szCs w:val="24"/>
        </w:rPr>
        <w:t>能源转型对金融稳定的影响研究</w:t>
      </w:r>
    </w:p>
    <w:p w14:paraId="5BB6A83B">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3</w:t>
      </w:r>
      <w:r>
        <w:rPr>
          <w:rFonts w:ascii="Times New Roman" w:hAnsi="Times New Roman" w:cs="宋体"/>
          <w:color w:val="000000"/>
          <w:sz w:val="24"/>
          <w:szCs w:val="24"/>
        </w:rPr>
        <w:t>4.</w:t>
      </w:r>
      <w:r>
        <w:rPr>
          <w:rFonts w:hint="eastAsia" w:ascii="Times New Roman" w:hAnsi="Times New Roman" w:cs="宋体"/>
          <w:color w:val="000000"/>
          <w:sz w:val="24"/>
          <w:szCs w:val="24"/>
        </w:rPr>
        <w:t>碳衍生金融工具运行机制研究</w:t>
      </w:r>
    </w:p>
    <w:p w14:paraId="084EF20B">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3</w:t>
      </w:r>
      <w:r>
        <w:rPr>
          <w:rFonts w:ascii="Times New Roman" w:hAnsi="Times New Roman" w:cs="宋体"/>
          <w:color w:val="000000"/>
          <w:sz w:val="24"/>
          <w:szCs w:val="24"/>
        </w:rPr>
        <w:t>5.</w:t>
      </w:r>
      <w:r>
        <w:rPr>
          <w:rFonts w:hint="eastAsia" w:ascii="Times New Roman" w:hAnsi="Times New Roman" w:cs="宋体"/>
          <w:color w:val="000000"/>
          <w:sz w:val="24"/>
          <w:szCs w:val="24"/>
        </w:rPr>
        <w:t>碳交易风险防范体系构建研究</w:t>
      </w:r>
    </w:p>
    <w:p w14:paraId="65C85566">
      <w:pPr>
        <w:pStyle w:val="2"/>
        <w:ind w:left="-359" w:leftChars="-171" w:firstLine="120" w:firstLineChars="50"/>
        <w:rPr>
          <w:rFonts w:ascii="Times New Roman" w:hAnsi="Times New Roman" w:cs="宋体"/>
          <w:color w:val="000000"/>
          <w:sz w:val="24"/>
          <w:szCs w:val="24"/>
        </w:rPr>
      </w:pPr>
      <w:r>
        <w:rPr>
          <w:rFonts w:ascii="Times New Roman" w:hAnsi="Times New Roman" w:cs="宋体"/>
          <w:color w:val="000000"/>
          <w:sz w:val="24"/>
          <w:szCs w:val="24"/>
        </w:rPr>
        <w:t>36.</w:t>
      </w:r>
      <w:r>
        <w:rPr>
          <w:rFonts w:hint="eastAsia" w:ascii="Times New Roman" w:hAnsi="Times New Roman" w:cs="宋体"/>
          <w:color w:val="000000"/>
          <w:sz w:val="24"/>
          <w:szCs w:val="24"/>
        </w:rPr>
        <w:t>碳金融产品创新研究</w:t>
      </w:r>
    </w:p>
    <w:p w14:paraId="733DA008">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3</w:t>
      </w:r>
      <w:r>
        <w:rPr>
          <w:rFonts w:ascii="Times New Roman" w:hAnsi="Times New Roman" w:cs="宋体"/>
          <w:color w:val="000000"/>
          <w:sz w:val="24"/>
          <w:szCs w:val="24"/>
        </w:rPr>
        <w:t>7.</w:t>
      </w:r>
      <w:r>
        <w:rPr>
          <w:rFonts w:hint="eastAsia" w:ascii="Times New Roman" w:hAnsi="Times New Roman" w:cs="宋体"/>
          <w:color w:val="000000"/>
          <w:sz w:val="24"/>
          <w:szCs w:val="24"/>
        </w:rPr>
        <w:t>碳资产定价研究</w:t>
      </w:r>
    </w:p>
    <w:p w14:paraId="3BA0DA73">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3</w:t>
      </w:r>
      <w:r>
        <w:rPr>
          <w:rFonts w:ascii="Times New Roman" w:hAnsi="Times New Roman" w:cs="宋体"/>
          <w:color w:val="000000"/>
          <w:sz w:val="24"/>
          <w:szCs w:val="24"/>
        </w:rPr>
        <w:t>8.</w:t>
      </w:r>
      <w:r>
        <w:rPr>
          <w:rFonts w:hint="eastAsia" w:ascii="Times New Roman" w:hAnsi="Times New Roman" w:cs="宋体"/>
          <w:color w:val="000000"/>
          <w:sz w:val="24"/>
          <w:szCs w:val="24"/>
        </w:rPr>
        <w:t>绿色金融发展研究</w:t>
      </w:r>
    </w:p>
    <w:p w14:paraId="7B6FB42C">
      <w:pPr>
        <w:pStyle w:val="2"/>
        <w:ind w:left="-359" w:leftChars="-171" w:firstLine="120" w:firstLineChars="50"/>
        <w:rPr>
          <w:rFonts w:ascii="Times New Roman" w:hAnsi="Times New Roman" w:cs="宋体"/>
          <w:color w:val="000000"/>
          <w:sz w:val="24"/>
          <w:szCs w:val="24"/>
        </w:rPr>
      </w:pPr>
      <w:r>
        <w:rPr>
          <w:rFonts w:ascii="Times New Roman" w:hAnsi="Times New Roman" w:cs="宋体"/>
          <w:color w:val="000000"/>
          <w:sz w:val="24"/>
          <w:szCs w:val="24"/>
        </w:rPr>
        <w:t>39</w:t>
      </w:r>
      <w:r>
        <w:rPr>
          <w:rFonts w:hint="eastAsia" w:ascii="Times New Roman" w:hAnsi="Times New Roman" w:cs="宋体"/>
          <w:color w:val="000000"/>
          <w:sz w:val="24"/>
          <w:szCs w:val="24"/>
        </w:rPr>
        <w:t>.转型金融发展研究</w:t>
      </w:r>
    </w:p>
    <w:p w14:paraId="700B63B8">
      <w:pPr>
        <w:pStyle w:val="2"/>
        <w:ind w:left="-359" w:leftChars="-171" w:firstLine="120" w:firstLineChars="50"/>
        <w:rPr>
          <w:rFonts w:ascii="Times New Roman" w:hAnsi="Times New Roman" w:cs="宋体"/>
          <w:color w:val="000000"/>
          <w:sz w:val="24"/>
          <w:szCs w:val="24"/>
        </w:rPr>
      </w:pPr>
      <w:r>
        <w:rPr>
          <w:rFonts w:hint="eastAsia" w:ascii="Times New Roman" w:hAnsi="Times New Roman" w:cs="宋体"/>
          <w:color w:val="000000"/>
          <w:sz w:val="24"/>
          <w:szCs w:val="24"/>
        </w:rPr>
        <w:t>4</w:t>
      </w:r>
      <w:r>
        <w:rPr>
          <w:rFonts w:ascii="Times New Roman" w:hAnsi="Times New Roman" w:cs="宋体"/>
          <w:color w:val="000000"/>
          <w:sz w:val="24"/>
          <w:szCs w:val="24"/>
        </w:rPr>
        <w:t>0.</w:t>
      </w:r>
      <w:r>
        <w:rPr>
          <w:rFonts w:hint="eastAsia" w:ascii="Times New Roman" w:hAnsi="Times New Roman" w:cs="宋体"/>
          <w:color w:val="000000"/>
          <w:sz w:val="24"/>
          <w:szCs w:val="24"/>
        </w:rPr>
        <w:t>人工智能在金融工程中的应用研究</w:t>
      </w:r>
    </w:p>
    <w:p w14:paraId="4099AA87">
      <w:pPr>
        <w:pStyle w:val="2"/>
        <w:ind w:left="-359" w:leftChars="-171" w:firstLine="120" w:firstLineChars="50"/>
        <w:rPr>
          <w:rFonts w:ascii="Times New Roman" w:hAnsi="Times New Roman" w:cs="宋体"/>
          <w:color w:val="000000"/>
          <w:sz w:val="24"/>
          <w:szCs w:val="24"/>
        </w:rPr>
      </w:pPr>
    </w:p>
    <w:p w14:paraId="2C9F01FF">
      <w:pPr>
        <w:pStyle w:val="2"/>
        <w:ind w:left="-359" w:leftChars="-171" w:firstLine="181" w:firstLineChars="50"/>
        <w:rPr>
          <w:rFonts w:ascii="Times New Roman" w:hAnsi="Times New Roman" w:eastAsia="楷体_GB2312" w:cs="宋体"/>
          <w:b/>
          <w:color w:val="000000"/>
          <w:sz w:val="36"/>
          <w:szCs w:val="36"/>
        </w:rPr>
      </w:pPr>
      <w:r>
        <w:rPr>
          <w:rFonts w:hint="eastAsia" w:ascii="Times New Roman" w:hAnsi="Times New Roman" w:eastAsia="楷体_GB2312" w:cs="宋体"/>
          <w:b/>
          <w:sz w:val="36"/>
          <w:szCs w:val="36"/>
        </w:rPr>
        <w:t>第三部分</w:t>
      </w:r>
    </w:p>
    <w:p w14:paraId="4EEE8A73">
      <w:pPr>
        <w:pStyle w:val="2"/>
        <w:ind w:left="-359" w:leftChars="-171" w:firstLine="181" w:firstLineChars="50"/>
        <w:rPr>
          <w:rFonts w:ascii="Times New Roman" w:hAnsi="Times New Roman" w:eastAsia="楷体_GB2312" w:cs="宋体"/>
          <w:b/>
          <w:sz w:val="36"/>
          <w:szCs w:val="36"/>
        </w:rPr>
      </w:pPr>
      <w:r>
        <w:rPr>
          <w:rFonts w:hint="eastAsia" w:ascii="Times New Roman" w:hAnsi="Times New Roman" w:eastAsia="楷体_GB2312" w:cs="宋体"/>
          <w:b/>
          <w:color w:val="000000"/>
          <w:sz w:val="36"/>
          <w:szCs w:val="36"/>
        </w:rPr>
        <w:t>【</w:t>
      </w:r>
      <w:r>
        <w:rPr>
          <w:rFonts w:hint="eastAsia" w:ascii="Times New Roman" w:hAnsi="Times New Roman" w:eastAsia="楷体_GB2312" w:cs="宋体"/>
          <w:b/>
          <w:sz w:val="36"/>
          <w:szCs w:val="36"/>
        </w:rPr>
        <w:t>金融</w:t>
      </w:r>
      <w:r>
        <w:rPr>
          <w:rFonts w:hint="eastAsia" w:ascii="Times New Roman" w:hAnsi="Times New Roman" w:eastAsia="楷体_GB2312" w:cs="宋体"/>
          <w:b/>
          <w:sz w:val="36"/>
          <w:szCs w:val="36"/>
          <w:lang w:val="en-US" w:eastAsia="zh-CN"/>
        </w:rPr>
        <w:t>学（大数据与财富管理光华实验班）</w:t>
      </w:r>
      <w:r>
        <w:rPr>
          <w:rFonts w:hint="eastAsia" w:ascii="Times New Roman" w:hAnsi="Times New Roman" w:eastAsia="楷体_GB2312" w:cs="宋体"/>
          <w:b/>
          <w:color w:val="000000"/>
          <w:sz w:val="36"/>
          <w:szCs w:val="36"/>
        </w:rPr>
        <w:t>】选题指南</w:t>
      </w:r>
    </w:p>
    <w:p w14:paraId="6AAAA5CD">
      <w:pPr>
        <w:widowControl/>
        <w:rPr>
          <w:rFonts w:cs="宋体"/>
          <w:sz w:val="24"/>
        </w:rPr>
      </w:pPr>
      <w:r>
        <w:rPr>
          <w:rFonts w:hint="eastAsia" w:cs="宋体"/>
          <w:sz w:val="24"/>
        </w:rPr>
        <w:t>1.</w:t>
      </w:r>
      <w:r>
        <w:rPr>
          <w:rFonts w:hint="eastAsia" w:cs="宋体"/>
          <w:sz w:val="24"/>
        </w:rPr>
        <w:tab/>
      </w:r>
      <w:r>
        <w:rPr>
          <w:rFonts w:hint="eastAsia" w:cs="宋体"/>
          <w:sz w:val="24"/>
        </w:rPr>
        <w:t>互联网金融理财产品的风险分析与对策探讨</w:t>
      </w:r>
    </w:p>
    <w:p w14:paraId="38472227">
      <w:pPr>
        <w:widowControl/>
        <w:rPr>
          <w:rFonts w:cs="宋体"/>
          <w:sz w:val="24"/>
        </w:rPr>
      </w:pPr>
      <w:r>
        <w:rPr>
          <w:rFonts w:hint="eastAsia" w:cs="宋体"/>
          <w:sz w:val="24"/>
        </w:rPr>
        <w:t>2.</w:t>
      </w:r>
      <w:r>
        <w:rPr>
          <w:rFonts w:hint="eastAsia" w:cs="宋体"/>
          <w:sz w:val="24"/>
        </w:rPr>
        <w:tab/>
      </w:r>
      <w:r>
        <w:rPr>
          <w:rFonts w:hint="eastAsia" w:cs="宋体"/>
          <w:sz w:val="24"/>
        </w:rPr>
        <w:t>人工智能在金融理财中的应用研究</w:t>
      </w:r>
    </w:p>
    <w:p w14:paraId="3A33ED44">
      <w:pPr>
        <w:widowControl/>
        <w:rPr>
          <w:rFonts w:cs="宋体"/>
          <w:sz w:val="24"/>
        </w:rPr>
      </w:pPr>
      <w:r>
        <w:rPr>
          <w:rFonts w:hint="eastAsia" w:cs="宋体"/>
          <w:sz w:val="24"/>
        </w:rPr>
        <w:t>3.</w:t>
      </w:r>
      <w:r>
        <w:rPr>
          <w:rFonts w:hint="eastAsia" w:cs="宋体"/>
          <w:sz w:val="24"/>
        </w:rPr>
        <w:tab/>
      </w:r>
      <w:r>
        <w:rPr>
          <w:rFonts w:hint="eastAsia" w:cs="宋体"/>
          <w:sz w:val="24"/>
        </w:rPr>
        <w:t>ARMA波动率模型下到期区间理财产品定价</w:t>
      </w:r>
    </w:p>
    <w:p w14:paraId="4BB1FE10">
      <w:pPr>
        <w:widowControl/>
        <w:rPr>
          <w:rFonts w:cs="宋体"/>
          <w:sz w:val="24"/>
        </w:rPr>
      </w:pPr>
      <w:r>
        <w:rPr>
          <w:rFonts w:hint="eastAsia" w:cs="宋体"/>
          <w:sz w:val="24"/>
        </w:rPr>
        <w:t>4.</w:t>
      </w:r>
      <w:r>
        <w:rPr>
          <w:rFonts w:hint="eastAsia" w:cs="宋体"/>
          <w:sz w:val="24"/>
        </w:rPr>
        <w:tab/>
      </w:r>
      <w:r>
        <w:rPr>
          <w:rFonts w:hint="eastAsia" w:cs="宋体"/>
          <w:sz w:val="24"/>
        </w:rPr>
        <w:t>农村金融理财的发展现状与可行路径研究</w:t>
      </w:r>
    </w:p>
    <w:p w14:paraId="084629CA">
      <w:pPr>
        <w:widowControl/>
        <w:rPr>
          <w:rFonts w:cs="宋体"/>
          <w:sz w:val="24"/>
        </w:rPr>
      </w:pPr>
      <w:r>
        <w:rPr>
          <w:rFonts w:hint="eastAsia" w:cs="宋体"/>
          <w:sz w:val="24"/>
        </w:rPr>
        <w:t>5.</w:t>
      </w:r>
      <w:r>
        <w:rPr>
          <w:rFonts w:hint="eastAsia" w:cs="宋体"/>
          <w:sz w:val="24"/>
        </w:rPr>
        <w:tab/>
      </w:r>
      <w:r>
        <w:rPr>
          <w:rFonts w:hint="eastAsia" w:cs="宋体"/>
          <w:sz w:val="24"/>
        </w:rPr>
        <w:t>商业银行个人理财产品创新与发展研究</w:t>
      </w:r>
    </w:p>
    <w:p w14:paraId="1976CA73">
      <w:pPr>
        <w:widowControl/>
        <w:rPr>
          <w:rFonts w:cs="宋体"/>
          <w:sz w:val="24"/>
        </w:rPr>
      </w:pPr>
      <w:r>
        <w:rPr>
          <w:rFonts w:hint="eastAsia" w:cs="宋体"/>
          <w:sz w:val="24"/>
        </w:rPr>
        <w:t>6.</w:t>
      </w:r>
      <w:r>
        <w:rPr>
          <w:rFonts w:hint="eastAsia" w:cs="宋体"/>
          <w:sz w:val="24"/>
        </w:rPr>
        <w:tab/>
      </w:r>
      <w:r>
        <w:rPr>
          <w:rFonts w:hint="eastAsia" w:cs="宋体"/>
          <w:sz w:val="24"/>
        </w:rPr>
        <w:t>资管新规对银行理财业务的影响及应对方式</w:t>
      </w:r>
    </w:p>
    <w:p w14:paraId="4392EBE9">
      <w:pPr>
        <w:widowControl/>
        <w:rPr>
          <w:rFonts w:cs="宋体"/>
          <w:sz w:val="24"/>
        </w:rPr>
      </w:pPr>
      <w:r>
        <w:rPr>
          <w:rFonts w:hint="eastAsia" w:cs="宋体"/>
          <w:sz w:val="24"/>
        </w:rPr>
        <w:t>7.</w:t>
      </w:r>
      <w:r>
        <w:rPr>
          <w:rFonts w:hint="eastAsia" w:cs="宋体"/>
          <w:sz w:val="24"/>
        </w:rPr>
        <w:tab/>
      </w:r>
      <w:r>
        <w:rPr>
          <w:rFonts w:hint="eastAsia" w:cs="宋体"/>
          <w:sz w:val="24"/>
        </w:rPr>
        <w:t>商业银行同业理财业务发展和风险研究</w:t>
      </w:r>
    </w:p>
    <w:p w14:paraId="54848D68">
      <w:pPr>
        <w:widowControl/>
        <w:rPr>
          <w:rFonts w:cs="宋体"/>
          <w:sz w:val="24"/>
        </w:rPr>
      </w:pPr>
      <w:r>
        <w:rPr>
          <w:rFonts w:hint="eastAsia" w:cs="宋体"/>
          <w:sz w:val="24"/>
        </w:rPr>
        <w:t>8.</w:t>
      </w:r>
      <w:r>
        <w:rPr>
          <w:rFonts w:hint="eastAsia" w:cs="宋体"/>
          <w:sz w:val="24"/>
        </w:rPr>
        <w:tab/>
      </w:r>
      <w:r>
        <w:rPr>
          <w:rFonts w:hint="eastAsia" w:cs="宋体"/>
          <w:sz w:val="24"/>
        </w:rPr>
        <w:t>利率市场化角度看商业银行理财业务发展</w:t>
      </w:r>
    </w:p>
    <w:p w14:paraId="78771838">
      <w:pPr>
        <w:widowControl/>
        <w:rPr>
          <w:rFonts w:cs="宋体"/>
          <w:sz w:val="24"/>
        </w:rPr>
      </w:pPr>
      <w:r>
        <w:rPr>
          <w:rFonts w:hint="eastAsia" w:cs="宋体"/>
          <w:sz w:val="24"/>
        </w:rPr>
        <w:t>9.</w:t>
      </w:r>
      <w:r>
        <w:rPr>
          <w:rFonts w:hint="eastAsia" w:cs="宋体"/>
          <w:sz w:val="24"/>
        </w:rPr>
        <w:tab/>
      </w:r>
      <w:r>
        <w:rPr>
          <w:rFonts w:hint="eastAsia" w:cs="宋体"/>
          <w:sz w:val="24"/>
        </w:rPr>
        <w:t>我国商业银行理财业务发展问题及对策研究</w:t>
      </w:r>
    </w:p>
    <w:p w14:paraId="00F9FC5C">
      <w:pPr>
        <w:widowControl/>
        <w:rPr>
          <w:rFonts w:cs="宋体"/>
          <w:sz w:val="24"/>
        </w:rPr>
      </w:pPr>
      <w:r>
        <w:rPr>
          <w:rFonts w:hint="eastAsia" w:cs="宋体"/>
          <w:sz w:val="24"/>
        </w:rPr>
        <w:t>10.</w:t>
      </w:r>
      <w:r>
        <w:rPr>
          <w:rFonts w:hint="eastAsia" w:cs="宋体"/>
          <w:sz w:val="24"/>
        </w:rPr>
        <w:tab/>
      </w:r>
      <w:r>
        <w:rPr>
          <w:rFonts w:hint="eastAsia" w:cs="宋体"/>
          <w:sz w:val="24"/>
        </w:rPr>
        <w:t>个人理财市场区分及差异化服务研究</w:t>
      </w:r>
    </w:p>
    <w:p w14:paraId="6527E74E">
      <w:pPr>
        <w:widowControl/>
        <w:rPr>
          <w:rFonts w:cs="宋体"/>
          <w:sz w:val="24"/>
        </w:rPr>
      </w:pPr>
      <w:r>
        <w:rPr>
          <w:rFonts w:hint="eastAsia" w:cs="宋体"/>
          <w:sz w:val="24"/>
        </w:rPr>
        <w:t>11.</w:t>
      </w:r>
      <w:r>
        <w:rPr>
          <w:rFonts w:hint="eastAsia" w:cs="宋体"/>
          <w:sz w:val="24"/>
        </w:rPr>
        <w:tab/>
      </w:r>
      <w:r>
        <w:rPr>
          <w:rFonts w:hint="eastAsia" w:cs="宋体"/>
          <w:sz w:val="24"/>
        </w:rPr>
        <w:t>个人理财风险偏好影响因素实证研究</w:t>
      </w:r>
    </w:p>
    <w:p w14:paraId="4B8C8AB9">
      <w:pPr>
        <w:widowControl/>
        <w:rPr>
          <w:rFonts w:cs="宋体"/>
          <w:sz w:val="24"/>
        </w:rPr>
      </w:pPr>
      <w:r>
        <w:rPr>
          <w:rFonts w:hint="eastAsia" w:cs="宋体"/>
          <w:sz w:val="24"/>
        </w:rPr>
        <w:t>12.</w:t>
      </w:r>
      <w:r>
        <w:rPr>
          <w:rFonts w:hint="eastAsia" w:cs="宋体"/>
          <w:sz w:val="24"/>
        </w:rPr>
        <w:tab/>
      </w:r>
      <w:r>
        <w:rPr>
          <w:rFonts w:hint="eastAsia" w:cs="宋体"/>
          <w:sz w:val="24"/>
        </w:rPr>
        <w:t>商业银行非标理财业务的风险管理</w:t>
      </w:r>
    </w:p>
    <w:p w14:paraId="4B5C9D5E">
      <w:pPr>
        <w:widowControl/>
        <w:rPr>
          <w:rFonts w:cs="宋体"/>
          <w:sz w:val="24"/>
        </w:rPr>
      </w:pPr>
      <w:r>
        <w:rPr>
          <w:rFonts w:hint="eastAsia" w:cs="宋体"/>
          <w:sz w:val="24"/>
        </w:rPr>
        <w:t>13.</w:t>
      </w:r>
      <w:r>
        <w:rPr>
          <w:rFonts w:hint="eastAsia" w:cs="宋体"/>
          <w:sz w:val="24"/>
        </w:rPr>
        <w:tab/>
      </w:r>
      <w:r>
        <w:rPr>
          <w:rFonts w:hint="eastAsia" w:cs="宋体"/>
          <w:sz w:val="24"/>
        </w:rPr>
        <w:t>理财产品对上市银行经营绩效的影响及对策研究</w:t>
      </w:r>
    </w:p>
    <w:p w14:paraId="59CC8C84">
      <w:pPr>
        <w:widowControl/>
        <w:rPr>
          <w:rFonts w:cs="宋体"/>
          <w:sz w:val="24"/>
        </w:rPr>
      </w:pPr>
      <w:r>
        <w:rPr>
          <w:rFonts w:hint="eastAsia" w:cs="宋体"/>
          <w:sz w:val="24"/>
        </w:rPr>
        <w:t>14.</w:t>
      </w:r>
      <w:r>
        <w:rPr>
          <w:rFonts w:hint="eastAsia" w:cs="宋体"/>
          <w:sz w:val="24"/>
        </w:rPr>
        <w:tab/>
      </w:r>
      <w:r>
        <w:rPr>
          <w:rFonts w:hint="eastAsia" w:cs="宋体"/>
          <w:sz w:val="24"/>
        </w:rPr>
        <w:t>银行理财产品营销管理研究</w:t>
      </w:r>
    </w:p>
    <w:p w14:paraId="07D6D24C">
      <w:pPr>
        <w:widowControl/>
        <w:rPr>
          <w:rFonts w:cs="宋体"/>
          <w:sz w:val="24"/>
        </w:rPr>
      </w:pPr>
      <w:r>
        <w:rPr>
          <w:rFonts w:hint="eastAsia" w:cs="宋体"/>
          <w:sz w:val="24"/>
        </w:rPr>
        <w:t>15.</w:t>
      </w:r>
      <w:r>
        <w:rPr>
          <w:rFonts w:hint="eastAsia" w:cs="宋体"/>
          <w:sz w:val="24"/>
        </w:rPr>
        <w:tab/>
      </w:r>
      <w:r>
        <w:rPr>
          <w:rFonts w:hint="eastAsia" w:cs="宋体"/>
          <w:sz w:val="24"/>
        </w:rPr>
        <w:t>商业银行理财产品现状及收益率影响因素分析</w:t>
      </w:r>
    </w:p>
    <w:p w14:paraId="594538F9">
      <w:pPr>
        <w:widowControl/>
        <w:rPr>
          <w:rFonts w:cs="宋体"/>
          <w:sz w:val="24"/>
        </w:rPr>
      </w:pPr>
      <w:r>
        <w:rPr>
          <w:rFonts w:hint="eastAsia" w:cs="宋体"/>
          <w:sz w:val="24"/>
        </w:rPr>
        <w:t>16.</w:t>
      </w:r>
      <w:r>
        <w:rPr>
          <w:rFonts w:hint="eastAsia" w:cs="宋体"/>
          <w:sz w:val="24"/>
        </w:rPr>
        <w:tab/>
      </w:r>
      <w:r>
        <w:rPr>
          <w:rFonts w:hint="eastAsia" w:cs="宋体"/>
          <w:sz w:val="24"/>
        </w:rPr>
        <w:t>从监管逻辑深度解析理财业务</w:t>
      </w:r>
    </w:p>
    <w:p w14:paraId="4E3FA077">
      <w:pPr>
        <w:widowControl/>
        <w:rPr>
          <w:rFonts w:cs="宋体"/>
          <w:sz w:val="24"/>
        </w:rPr>
      </w:pPr>
      <w:r>
        <w:rPr>
          <w:rFonts w:hint="eastAsia" w:cs="宋体"/>
          <w:sz w:val="24"/>
        </w:rPr>
        <w:t>17.</w:t>
      </w:r>
      <w:r>
        <w:rPr>
          <w:rFonts w:hint="eastAsia" w:cs="宋体"/>
          <w:sz w:val="24"/>
        </w:rPr>
        <w:tab/>
      </w:r>
      <w:r>
        <w:rPr>
          <w:rFonts w:hint="eastAsia" w:cs="宋体"/>
          <w:sz w:val="24"/>
        </w:rPr>
        <w:t>“资产荒”背景下银行理财产品思路创新</w:t>
      </w:r>
    </w:p>
    <w:p w14:paraId="3B4F3241">
      <w:pPr>
        <w:widowControl/>
        <w:rPr>
          <w:rFonts w:cs="宋体"/>
          <w:sz w:val="24"/>
        </w:rPr>
      </w:pPr>
      <w:r>
        <w:rPr>
          <w:rFonts w:hint="eastAsia" w:cs="宋体"/>
          <w:sz w:val="24"/>
        </w:rPr>
        <w:t>18.</w:t>
      </w:r>
      <w:r>
        <w:rPr>
          <w:rFonts w:hint="eastAsia" w:cs="宋体"/>
          <w:sz w:val="24"/>
        </w:rPr>
        <w:tab/>
      </w:r>
      <w:r>
        <w:rPr>
          <w:rFonts w:hint="eastAsia" w:cs="宋体"/>
          <w:sz w:val="24"/>
        </w:rPr>
        <w:t>论商业银行理财业务未来发展趋势</w:t>
      </w:r>
    </w:p>
    <w:p w14:paraId="30C2E301">
      <w:pPr>
        <w:widowControl/>
        <w:rPr>
          <w:rFonts w:cs="宋体"/>
          <w:sz w:val="24"/>
        </w:rPr>
      </w:pPr>
      <w:r>
        <w:rPr>
          <w:rFonts w:hint="eastAsia" w:cs="宋体"/>
          <w:sz w:val="24"/>
        </w:rPr>
        <w:t>19.</w:t>
      </w:r>
      <w:r>
        <w:rPr>
          <w:rFonts w:hint="eastAsia" w:cs="宋体"/>
          <w:sz w:val="24"/>
        </w:rPr>
        <w:tab/>
      </w:r>
      <w:r>
        <w:rPr>
          <w:rFonts w:hint="eastAsia" w:cs="宋体"/>
          <w:sz w:val="24"/>
        </w:rPr>
        <w:t>浅析家庭投资理财规划的现状和对策</w:t>
      </w:r>
    </w:p>
    <w:p w14:paraId="61EB2685">
      <w:pPr>
        <w:widowControl/>
        <w:rPr>
          <w:rFonts w:cs="宋体"/>
          <w:sz w:val="24"/>
        </w:rPr>
      </w:pPr>
      <w:r>
        <w:rPr>
          <w:rFonts w:hint="eastAsia" w:cs="宋体"/>
          <w:sz w:val="24"/>
        </w:rPr>
        <w:t>20.</w:t>
      </w:r>
      <w:r>
        <w:rPr>
          <w:rFonts w:hint="eastAsia" w:cs="宋体"/>
          <w:sz w:val="24"/>
        </w:rPr>
        <w:tab/>
      </w:r>
      <w:r>
        <w:rPr>
          <w:rFonts w:hint="eastAsia" w:cs="宋体"/>
          <w:sz w:val="24"/>
        </w:rPr>
        <w:t>论私人理财与信托计划</w:t>
      </w:r>
    </w:p>
    <w:p w14:paraId="3C9809F2">
      <w:pPr>
        <w:widowControl/>
        <w:rPr>
          <w:rFonts w:cs="宋体"/>
          <w:sz w:val="24"/>
        </w:rPr>
      </w:pPr>
      <w:r>
        <w:rPr>
          <w:rFonts w:hint="eastAsia" w:cs="宋体"/>
          <w:sz w:val="24"/>
        </w:rPr>
        <w:t>21.</w:t>
      </w:r>
      <w:r>
        <w:rPr>
          <w:rFonts w:hint="eastAsia" w:cs="宋体"/>
          <w:sz w:val="24"/>
        </w:rPr>
        <w:tab/>
      </w:r>
      <w:r>
        <w:rPr>
          <w:rFonts w:hint="eastAsia" w:cs="宋体"/>
          <w:sz w:val="24"/>
        </w:rPr>
        <w:t>银行个人理财产品制度的转型之道</w:t>
      </w:r>
    </w:p>
    <w:p w14:paraId="202C50B6">
      <w:pPr>
        <w:widowControl/>
        <w:rPr>
          <w:rFonts w:cs="宋体"/>
          <w:sz w:val="24"/>
        </w:rPr>
      </w:pPr>
      <w:r>
        <w:rPr>
          <w:rFonts w:hint="eastAsia" w:cs="宋体"/>
          <w:sz w:val="24"/>
        </w:rPr>
        <w:t>22.</w:t>
      </w:r>
      <w:r>
        <w:rPr>
          <w:rFonts w:hint="eastAsia" w:cs="宋体"/>
          <w:sz w:val="24"/>
        </w:rPr>
        <w:tab/>
      </w:r>
      <w:r>
        <w:rPr>
          <w:rFonts w:hint="eastAsia" w:cs="宋体"/>
          <w:sz w:val="24"/>
        </w:rPr>
        <w:t>关于商业银行理财业务监管策略探讨</w:t>
      </w:r>
    </w:p>
    <w:p w14:paraId="2BAC8C19">
      <w:pPr>
        <w:widowControl/>
        <w:rPr>
          <w:rFonts w:cs="宋体"/>
          <w:sz w:val="24"/>
        </w:rPr>
      </w:pPr>
      <w:r>
        <w:rPr>
          <w:rFonts w:hint="eastAsia" w:cs="宋体"/>
          <w:sz w:val="24"/>
        </w:rPr>
        <w:t>23.</w:t>
      </w:r>
      <w:r>
        <w:rPr>
          <w:rFonts w:hint="eastAsia" w:cs="宋体"/>
          <w:sz w:val="24"/>
        </w:rPr>
        <w:tab/>
      </w:r>
      <w:r>
        <w:rPr>
          <w:rFonts w:hint="eastAsia" w:cs="宋体"/>
          <w:sz w:val="24"/>
        </w:rPr>
        <w:t>居民投资理财的必要性及理财策略之研究</w:t>
      </w:r>
    </w:p>
    <w:p w14:paraId="6DBA3411">
      <w:pPr>
        <w:widowControl/>
        <w:rPr>
          <w:rFonts w:cs="宋体"/>
          <w:sz w:val="24"/>
        </w:rPr>
      </w:pPr>
      <w:r>
        <w:rPr>
          <w:rFonts w:hint="eastAsia" w:cs="宋体"/>
          <w:sz w:val="24"/>
        </w:rPr>
        <w:t>24.</w:t>
      </w:r>
      <w:r>
        <w:rPr>
          <w:rFonts w:hint="eastAsia" w:cs="宋体"/>
          <w:sz w:val="24"/>
        </w:rPr>
        <w:tab/>
      </w:r>
      <w:r>
        <w:rPr>
          <w:rFonts w:hint="eastAsia" w:cs="宋体"/>
          <w:sz w:val="24"/>
        </w:rPr>
        <w:t>银行理财平稳转型的监管思路</w:t>
      </w:r>
    </w:p>
    <w:p w14:paraId="2BCE445A">
      <w:pPr>
        <w:widowControl/>
        <w:rPr>
          <w:rFonts w:cs="宋体"/>
          <w:sz w:val="24"/>
        </w:rPr>
      </w:pPr>
      <w:r>
        <w:rPr>
          <w:rFonts w:hint="eastAsia" w:cs="宋体"/>
          <w:sz w:val="24"/>
        </w:rPr>
        <w:t>25.</w:t>
      </w:r>
      <w:r>
        <w:rPr>
          <w:rFonts w:hint="eastAsia" w:cs="宋体"/>
          <w:sz w:val="24"/>
        </w:rPr>
        <w:tab/>
      </w:r>
      <w:r>
        <w:rPr>
          <w:rFonts w:hint="eastAsia" w:cs="宋体"/>
          <w:sz w:val="24"/>
        </w:rPr>
        <w:t>我国投资理财市场发展现状及趋势探析</w:t>
      </w:r>
    </w:p>
    <w:p w14:paraId="3D193C32">
      <w:pPr>
        <w:widowControl/>
        <w:rPr>
          <w:rFonts w:cs="宋体"/>
          <w:sz w:val="24"/>
        </w:rPr>
      </w:pPr>
      <w:r>
        <w:rPr>
          <w:rFonts w:hint="eastAsia" w:cs="宋体"/>
          <w:sz w:val="24"/>
        </w:rPr>
        <w:t>26.</w:t>
      </w:r>
      <w:r>
        <w:rPr>
          <w:rFonts w:hint="eastAsia" w:cs="宋体"/>
          <w:sz w:val="24"/>
        </w:rPr>
        <w:tab/>
      </w:r>
      <w:r>
        <w:rPr>
          <w:rFonts w:hint="eastAsia" w:cs="宋体"/>
          <w:sz w:val="24"/>
        </w:rPr>
        <w:t>我国投资理财市场发展现状及趋势探析</w:t>
      </w:r>
    </w:p>
    <w:p w14:paraId="7602272C">
      <w:pPr>
        <w:widowControl/>
        <w:rPr>
          <w:rFonts w:cs="宋体"/>
          <w:sz w:val="24"/>
        </w:rPr>
      </w:pPr>
      <w:r>
        <w:rPr>
          <w:rFonts w:hint="eastAsia" w:cs="宋体"/>
          <w:sz w:val="24"/>
        </w:rPr>
        <w:t>27.</w:t>
      </w:r>
      <w:r>
        <w:rPr>
          <w:rFonts w:hint="eastAsia" w:cs="宋体"/>
          <w:sz w:val="24"/>
        </w:rPr>
        <w:tab/>
      </w:r>
      <w:r>
        <w:rPr>
          <w:rFonts w:hint="eastAsia" w:cs="宋体"/>
          <w:sz w:val="24"/>
        </w:rPr>
        <w:t>农村居民个人理财需求的区域差异调查分析</w:t>
      </w:r>
    </w:p>
    <w:p w14:paraId="0946350D">
      <w:pPr>
        <w:widowControl/>
        <w:rPr>
          <w:rFonts w:cs="宋体"/>
          <w:sz w:val="24"/>
        </w:rPr>
      </w:pPr>
      <w:r>
        <w:rPr>
          <w:rFonts w:hint="eastAsia" w:cs="宋体"/>
          <w:sz w:val="24"/>
        </w:rPr>
        <w:t>28.</w:t>
      </w:r>
      <w:r>
        <w:rPr>
          <w:rFonts w:hint="eastAsia" w:cs="宋体"/>
          <w:sz w:val="24"/>
        </w:rPr>
        <w:tab/>
      </w:r>
      <w:r>
        <w:rPr>
          <w:rFonts w:hint="eastAsia" w:cs="宋体"/>
          <w:sz w:val="24"/>
        </w:rPr>
        <w:t>商业银行表外理财业务风险传染分析</w:t>
      </w:r>
    </w:p>
    <w:p w14:paraId="0AADA987">
      <w:pPr>
        <w:widowControl/>
        <w:rPr>
          <w:rFonts w:cs="宋体"/>
          <w:sz w:val="24"/>
        </w:rPr>
      </w:pPr>
      <w:r>
        <w:rPr>
          <w:rFonts w:hint="eastAsia" w:cs="宋体"/>
          <w:sz w:val="24"/>
        </w:rPr>
        <w:t>29.</w:t>
      </w:r>
      <w:r>
        <w:rPr>
          <w:rFonts w:hint="eastAsia" w:cs="宋体"/>
          <w:sz w:val="24"/>
        </w:rPr>
        <w:tab/>
      </w:r>
      <w:r>
        <w:rPr>
          <w:rFonts w:hint="eastAsia" w:cs="宋体"/>
          <w:sz w:val="24"/>
        </w:rPr>
        <w:t>农村个人理财业务优势探讨</w:t>
      </w:r>
    </w:p>
    <w:p w14:paraId="399C4369">
      <w:pPr>
        <w:widowControl/>
        <w:rPr>
          <w:rFonts w:cs="宋体"/>
          <w:sz w:val="24"/>
        </w:rPr>
      </w:pPr>
      <w:r>
        <w:rPr>
          <w:rFonts w:hint="eastAsia" w:cs="宋体"/>
          <w:sz w:val="24"/>
        </w:rPr>
        <w:t>30.</w:t>
      </w:r>
      <w:r>
        <w:rPr>
          <w:rFonts w:hint="eastAsia" w:cs="宋体"/>
          <w:sz w:val="24"/>
        </w:rPr>
        <w:tab/>
      </w:r>
      <w:r>
        <w:rPr>
          <w:rFonts w:hint="eastAsia" w:cs="宋体"/>
          <w:sz w:val="24"/>
        </w:rPr>
        <w:t>互联网理财产品对我国金融业的影响探讨</w:t>
      </w:r>
    </w:p>
    <w:p w14:paraId="68109DFC">
      <w:pPr>
        <w:widowControl/>
        <w:rPr>
          <w:rFonts w:cs="宋体"/>
          <w:sz w:val="24"/>
        </w:rPr>
      </w:pPr>
    </w:p>
    <w:p w14:paraId="58128D5C">
      <w:pPr>
        <w:pStyle w:val="2"/>
        <w:ind w:left="-359" w:leftChars="-171" w:firstLine="181" w:firstLineChars="50"/>
        <w:rPr>
          <w:rFonts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第四部分</w:t>
      </w:r>
    </w:p>
    <w:p w14:paraId="50925099">
      <w:pPr>
        <w:pStyle w:val="2"/>
        <w:ind w:left="-359" w:leftChars="-171" w:firstLine="181" w:firstLineChars="50"/>
        <w:rPr>
          <w:rFonts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【金融学（双语实验班）】选题指南</w:t>
      </w:r>
    </w:p>
    <w:p w14:paraId="3010560E">
      <w:pPr>
        <w:pStyle w:val="2"/>
        <w:ind w:left="-359" w:leftChars="-171" w:firstLine="141" w:firstLineChars="50"/>
        <w:rPr>
          <w:rFonts w:ascii="Times New Roman" w:hAnsi="Times New Roman" w:eastAsia="楷体_GB2312" w:cs="宋体"/>
          <w:b/>
          <w:color w:val="000000"/>
          <w:sz w:val="28"/>
          <w:szCs w:val="36"/>
        </w:rPr>
      </w:pPr>
      <w:r>
        <w:rPr>
          <w:rFonts w:hint="eastAsia" w:ascii="Times New Roman" w:hAnsi="Times New Roman" w:eastAsia="楷体_GB2312" w:cs="宋体"/>
          <w:b/>
          <w:color w:val="000000"/>
          <w:sz w:val="28"/>
          <w:szCs w:val="36"/>
        </w:rPr>
        <w:t>（也可参考其他专业选题指南）</w:t>
      </w:r>
    </w:p>
    <w:p w14:paraId="52251F70">
      <w:pPr>
        <w:widowControl/>
        <w:rPr>
          <w:rFonts w:cs="宋体"/>
          <w:color w:val="000000"/>
          <w:sz w:val="24"/>
        </w:rPr>
      </w:pPr>
      <w:r>
        <w:rPr>
          <w:rFonts w:hint="eastAsia" w:cs="宋体"/>
          <w:color w:val="000000"/>
          <w:sz w:val="24"/>
        </w:rPr>
        <w:t>1.中国股市月份效应的探究</w:t>
      </w:r>
    </w:p>
    <w:p w14:paraId="1188860E">
      <w:pPr>
        <w:widowControl/>
        <w:rPr>
          <w:rFonts w:cs="宋体"/>
          <w:color w:val="000000"/>
          <w:sz w:val="24"/>
        </w:rPr>
      </w:pPr>
      <w:r>
        <w:rPr>
          <w:rFonts w:cs="宋体"/>
          <w:color w:val="000000"/>
          <w:sz w:val="24"/>
        </w:rPr>
        <w:t>2.</w:t>
      </w:r>
      <w:r>
        <w:rPr>
          <w:rFonts w:hint="eastAsia" w:cs="宋体"/>
          <w:color w:val="000000"/>
          <w:sz w:val="24"/>
        </w:rPr>
        <w:t>基于市场指标的长期投资策略——以中国A股市场为例</w:t>
      </w:r>
    </w:p>
    <w:p w14:paraId="3BA88E19">
      <w:pPr>
        <w:widowControl/>
        <w:rPr>
          <w:rFonts w:cs="宋体"/>
          <w:color w:val="000000"/>
          <w:sz w:val="24"/>
        </w:rPr>
      </w:pPr>
      <w:r>
        <w:rPr>
          <w:rFonts w:hint="eastAsia" w:cs="宋体"/>
          <w:color w:val="000000"/>
          <w:sz w:val="24"/>
        </w:rPr>
        <w:t>3.基于投资者情绪的中国股票市场月度效应研究</w:t>
      </w:r>
    </w:p>
    <w:p w14:paraId="5682BA6F">
      <w:pPr>
        <w:widowControl/>
        <w:rPr>
          <w:rFonts w:cs="宋体"/>
          <w:color w:val="000000"/>
          <w:sz w:val="24"/>
        </w:rPr>
      </w:pPr>
      <w:r>
        <w:rPr>
          <w:rFonts w:cs="宋体"/>
          <w:color w:val="000000"/>
          <w:sz w:val="24"/>
        </w:rPr>
        <w:t>4.</w:t>
      </w:r>
      <w:r>
        <w:rPr>
          <w:rFonts w:hint="eastAsia" w:cs="宋体"/>
          <w:color w:val="000000"/>
          <w:sz w:val="24"/>
        </w:rPr>
        <w:t>假期效应的显著性及投资策略研究</w:t>
      </w:r>
    </w:p>
    <w:p w14:paraId="78A3F2C4">
      <w:pPr>
        <w:widowControl/>
        <w:rPr>
          <w:rFonts w:cs="宋体"/>
          <w:color w:val="000000"/>
          <w:sz w:val="24"/>
        </w:rPr>
      </w:pPr>
      <w:r>
        <w:rPr>
          <w:rFonts w:cs="宋体"/>
          <w:color w:val="000000"/>
          <w:sz w:val="24"/>
        </w:rPr>
        <w:t>5.</w:t>
      </w:r>
      <w:r>
        <w:rPr>
          <w:rFonts w:hint="eastAsia" w:cs="宋体"/>
          <w:color w:val="000000"/>
          <w:sz w:val="24"/>
        </w:rPr>
        <w:t>金融危机后IPO长期效应</w:t>
      </w:r>
    </w:p>
    <w:p w14:paraId="10AA9D25">
      <w:pPr>
        <w:widowControl/>
        <w:rPr>
          <w:rFonts w:cs="宋体"/>
          <w:color w:val="000000"/>
          <w:sz w:val="24"/>
        </w:rPr>
      </w:pPr>
      <w:r>
        <w:rPr>
          <w:rFonts w:cs="宋体"/>
          <w:color w:val="000000"/>
          <w:sz w:val="24"/>
        </w:rPr>
        <w:t>6.</w:t>
      </w:r>
      <w:r>
        <w:rPr>
          <w:rFonts w:hint="eastAsia" w:cs="宋体"/>
          <w:color w:val="000000"/>
          <w:sz w:val="24"/>
        </w:rPr>
        <w:t>媒体关注度对IPO定价效率的影响--基于创业板上市公司的研究</w:t>
      </w:r>
    </w:p>
    <w:p w14:paraId="372524AB">
      <w:pPr>
        <w:widowControl/>
        <w:rPr>
          <w:rFonts w:cs="宋体"/>
          <w:color w:val="000000"/>
          <w:sz w:val="24"/>
        </w:rPr>
      </w:pPr>
      <w:r>
        <w:rPr>
          <w:rFonts w:hint="eastAsia" w:cs="宋体"/>
          <w:color w:val="000000"/>
          <w:sz w:val="24"/>
        </w:rPr>
        <w:t>7.五月卖出效应在中国股市中的实证研究</w:t>
      </w:r>
    </w:p>
    <w:p w14:paraId="50D4F1EC">
      <w:pPr>
        <w:widowControl/>
        <w:rPr>
          <w:rFonts w:cs="宋体"/>
          <w:color w:val="000000"/>
          <w:sz w:val="24"/>
        </w:rPr>
      </w:pPr>
      <w:r>
        <w:rPr>
          <w:rFonts w:cs="宋体"/>
          <w:color w:val="000000"/>
          <w:sz w:val="24"/>
        </w:rPr>
        <w:t>8.</w:t>
      </w:r>
      <w:r>
        <w:rPr>
          <w:rFonts w:hint="eastAsia" w:cs="宋体"/>
          <w:color w:val="000000"/>
          <w:sz w:val="24"/>
        </w:rPr>
        <w:t>中国A股市场的假日效应研究</w:t>
      </w:r>
    </w:p>
    <w:p w14:paraId="1441AF7F">
      <w:pPr>
        <w:widowControl/>
        <w:rPr>
          <w:rFonts w:cs="宋体"/>
          <w:color w:val="000000"/>
          <w:sz w:val="24"/>
        </w:rPr>
      </w:pPr>
      <w:r>
        <w:rPr>
          <w:rFonts w:cs="宋体"/>
          <w:color w:val="000000"/>
          <w:sz w:val="24"/>
        </w:rPr>
        <w:t>9.</w:t>
      </w:r>
      <w:r>
        <w:rPr>
          <w:rFonts w:hint="eastAsia" w:cs="宋体"/>
          <w:color w:val="000000"/>
          <w:sz w:val="24"/>
        </w:rPr>
        <w:t>中国股票市场“五月效应”实证检验</w:t>
      </w:r>
    </w:p>
    <w:p w14:paraId="2BFC056A">
      <w:pPr>
        <w:widowControl/>
        <w:rPr>
          <w:rFonts w:cs="宋体"/>
          <w:color w:val="000000"/>
          <w:sz w:val="24"/>
        </w:rPr>
      </w:pPr>
      <w:r>
        <w:rPr>
          <w:rFonts w:cs="宋体"/>
          <w:color w:val="000000"/>
          <w:sz w:val="24"/>
        </w:rPr>
        <w:t>10.</w:t>
      </w:r>
      <w:r>
        <w:rPr>
          <w:rFonts w:hint="eastAsia" w:cs="宋体"/>
          <w:color w:val="000000"/>
          <w:sz w:val="24"/>
        </w:rPr>
        <w:t>中国股票市场的节日效应研究</w:t>
      </w:r>
    </w:p>
    <w:p w14:paraId="18920796">
      <w:pPr>
        <w:widowControl/>
        <w:rPr>
          <w:rFonts w:cs="宋体"/>
          <w:color w:val="000000"/>
          <w:sz w:val="24"/>
        </w:rPr>
      </w:pPr>
      <w:r>
        <w:rPr>
          <w:rFonts w:cs="宋体"/>
          <w:color w:val="000000"/>
          <w:sz w:val="24"/>
        </w:rPr>
        <w:t>11.</w:t>
      </w:r>
      <w:r>
        <w:rPr>
          <w:rFonts w:hint="eastAsia" w:cs="宋体"/>
          <w:color w:val="000000"/>
          <w:sz w:val="24"/>
        </w:rPr>
        <w:t>中国沪深A股IPO长期表现</w:t>
      </w:r>
    </w:p>
    <w:p w14:paraId="2A0C968B">
      <w:pPr>
        <w:widowControl/>
        <w:rPr>
          <w:rFonts w:cs="宋体"/>
          <w:color w:val="000000"/>
          <w:sz w:val="24"/>
        </w:rPr>
      </w:pPr>
    </w:p>
    <w:p w14:paraId="0434B77B">
      <w:pPr>
        <w:pStyle w:val="2"/>
        <w:ind w:left="-359" w:leftChars="-171" w:firstLine="181" w:firstLineChars="50"/>
        <w:rPr>
          <w:rFonts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第五部分</w:t>
      </w:r>
    </w:p>
    <w:p w14:paraId="5595E796">
      <w:pPr>
        <w:pStyle w:val="2"/>
        <w:ind w:left="-359" w:leftChars="-171" w:firstLine="181" w:firstLineChars="50"/>
        <w:rPr>
          <w:rFonts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【信用管理】选题指南</w:t>
      </w:r>
    </w:p>
    <w:p w14:paraId="42316556">
      <w:pPr>
        <w:widowControl/>
        <w:rPr>
          <w:rFonts w:cs="宋体"/>
          <w:sz w:val="24"/>
        </w:rPr>
      </w:pPr>
      <w:r>
        <w:rPr>
          <w:rFonts w:hint="eastAsia" w:cs="宋体"/>
          <w:sz w:val="24"/>
        </w:rPr>
        <w:t>1.</w:t>
      </w:r>
      <w:r>
        <w:rPr>
          <w:rFonts w:hint="eastAsia" w:cs="宋体"/>
          <w:sz w:val="24"/>
        </w:rPr>
        <w:tab/>
      </w:r>
      <w:r>
        <w:rPr>
          <w:rFonts w:hint="eastAsia" w:cs="宋体"/>
          <w:sz w:val="24"/>
        </w:rPr>
        <w:t>债券违约预测研究</w:t>
      </w:r>
    </w:p>
    <w:p w14:paraId="1D236D55">
      <w:pPr>
        <w:widowControl/>
        <w:rPr>
          <w:rFonts w:cs="宋体"/>
          <w:sz w:val="24"/>
        </w:rPr>
      </w:pPr>
      <w:r>
        <w:rPr>
          <w:rFonts w:hint="eastAsia" w:cs="宋体"/>
          <w:sz w:val="24"/>
        </w:rPr>
        <w:t>2.</w:t>
      </w:r>
      <w:r>
        <w:rPr>
          <w:rFonts w:hint="eastAsia" w:cs="宋体"/>
          <w:sz w:val="24"/>
        </w:rPr>
        <w:tab/>
      </w:r>
      <w:r>
        <w:rPr>
          <w:rFonts w:hint="eastAsia" w:cs="宋体"/>
          <w:sz w:val="24"/>
        </w:rPr>
        <w:t>发债主体信用评级研究</w:t>
      </w:r>
    </w:p>
    <w:p w14:paraId="049BB131">
      <w:pPr>
        <w:widowControl/>
        <w:rPr>
          <w:rFonts w:cs="宋体"/>
          <w:sz w:val="24"/>
        </w:rPr>
      </w:pPr>
      <w:r>
        <w:rPr>
          <w:rFonts w:hint="eastAsia" w:cs="宋体"/>
          <w:sz w:val="24"/>
        </w:rPr>
        <w:t>3.</w:t>
      </w:r>
      <w:r>
        <w:rPr>
          <w:rFonts w:hint="eastAsia" w:cs="宋体"/>
          <w:sz w:val="24"/>
        </w:rPr>
        <w:tab/>
      </w:r>
      <w:r>
        <w:rPr>
          <w:rFonts w:hint="eastAsia" w:cs="宋体"/>
          <w:sz w:val="24"/>
        </w:rPr>
        <w:t>债券评级的马尔科夫链模型</w:t>
      </w:r>
    </w:p>
    <w:p w14:paraId="270E3019">
      <w:pPr>
        <w:widowControl/>
        <w:rPr>
          <w:rFonts w:cs="宋体"/>
          <w:sz w:val="24"/>
        </w:rPr>
      </w:pPr>
      <w:r>
        <w:rPr>
          <w:rFonts w:hint="eastAsia" w:cs="宋体"/>
          <w:sz w:val="24"/>
        </w:rPr>
        <w:t>4.</w:t>
      </w:r>
      <w:r>
        <w:rPr>
          <w:rFonts w:hint="eastAsia" w:cs="宋体"/>
          <w:sz w:val="24"/>
        </w:rPr>
        <w:tab/>
      </w:r>
      <w:r>
        <w:rPr>
          <w:rFonts w:hint="eastAsia" w:cs="宋体"/>
          <w:sz w:val="24"/>
        </w:rPr>
        <w:t>绿色债券研究</w:t>
      </w:r>
    </w:p>
    <w:p w14:paraId="7F8AFA3D">
      <w:pPr>
        <w:widowControl/>
        <w:rPr>
          <w:rFonts w:cs="宋体"/>
          <w:sz w:val="24"/>
        </w:rPr>
      </w:pPr>
      <w:r>
        <w:rPr>
          <w:rFonts w:hint="eastAsia" w:cs="宋体"/>
          <w:sz w:val="24"/>
        </w:rPr>
        <w:t>5.</w:t>
      </w:r>
      <w:r>
        <w:rPr>
          <w:rFonts w:hint="eastAsia" w:cs="宋体"/>
          <w:sz w:val="24"/>
        </w:rPr>
        <w:tab/>
      </w:r>
      <w:r>
        <w:rPr>
          <w:rFonts w:hint="eastAsia" w:cs="宋体"/>
          <w:sz w:val="24"/>
        </w:rPr>
        <w:t>可转债和永续债研究</w:t>
      </w:r>
    </w:p>
    <w:p w14:paraId="3830FD5C">
      <w:pPr>
        <w:widowControl/>
        <w:rPr>
          <w:rFonts w:cs="宋体"/>
          <w:sz w:val="24"/>
        </w:rPr>
      </w:pPr>
      <w:r>
        <w:rPr>
          <w:rFonts w:hint="eastAsia" w:cs="宋体"/>
          <w:sz w:val="24"/>
        </w:rPr>
        <w:t>6.</w:t>
      </w:r>
      <w:r>
        <w:rPr>
          <w:rFonts w:hint="eastAsia" w:cs="宋体"/>
          <w:sz w:val="24"/>
        </w:rPr>
        <w:tab/>
      </w:r>
      <w:r>
        <w:rPr>
          <w:rFonts w:hint="eastAsia" w:cs="宋体"/>
          <w:sz w:val="24"/>
        </w:rPr>
        <w:t>债券的市场风险研究</w:t>
      </w:r>
    </w:p>
    <w:p w14:paraId="0887ADB5">
      <w:pPr>
        <w:widowControl/>
        <w:rPr>
          <w:rFonts w:cs="宋体"/>
          <w:sz w:val="24"/>
        </w:rPr>
      </w:pPr>
      <w:r>
        <w:rPr>
          <w:rFonts w:hint="eastAsia" w:cs="宋体"/>
          <w:sz w:val="24"/>
        </w:rPr>
        <w:t>7.</w:t>
      </w:r>
      <w:r>
        <w:rPr>
          <w:rFonts w:hint="eastAsia" w:cs="宋体"/>
          <w:sz w:val="24"/>
        </w:rPr>
        <w:tab/>
      </w:r>
      <w:r>
        <w:rPr>
          <w:rFonts w:hint="eastAsia" w:cs="宋体"/>
          <w:sz w:val="24"/>
        </w:rPr>
        <w:t>债券的流动性风险研究</w:t>
      </w:r>
    </w:p>
    <w:p w14:paraId="02AA6E46">
      <w:pPr>
        <w:widowControl/>
        <w:rPr>
          <w:rFonts w:cs="宋体"/>
          <w:sz w:val="24"/>
        </w:rPr>
      </w:pPr>
      <w:r>
        <w:rPr>
          <w:rFonts w:hint="eastAsia" w:cs="宋体"/>
          <w:sz w:val="24"/>
        </w:rPr>
        <w:t>8.</w:t>
      </w:r>
      <w:r>
        <w:rPr>
          <w:rFonts w:hint="eastAsia" w:cs="宋体"/>
          <w:sz w:val="24"/>
        </w:rPr>
        <w:tab/>
      </w:r>
      <w:r>
        <w:rPr>
          <w:rFonts w:hint="eastAsia" w:cs="宋体"/>
          <w:sz w:val="24"/>
        </w:rPr>
        <w:t>债券的定价研究</w:t>
      </w:r>
    </w:p>
    <w:p w14:paraId="46C7AB8C">
      <w:pPr>
        <w:widowControl/>
        <w:rPr>
          <w:rFonts w:cs="宋体"/>
          <w:sz w:val="24"/>
        </w:rPr>
      </w:pPr>
      <w:r>
        <w:rPr>
          <w:rFonts w:hint="eastAsia" w:cs="宋体"/>
          <w:sz w:val="24"/>
        </w:rPr>
        <w:t>9.</w:t>
      </w:r>
      <w:r>
        <w:rPr>
          <w:rFonts w:hint="eastAsia" w:cs="宋体"/>
          <w:sz w:val="24"/>
        </w:rPr>
        <w:tab/>
      </w:r>
      <w:r>
        <w:rPr>
          <w:rFonts w:hint="eastAsia" w:cs="宋体"/>
          <w:sz w:val="24"/>
        </w:rPr>
        <w:t>违约债券回收率研究</w:t>
      </w:r>
    </w:p>
    <w:p w14:paraId="12767C28">
      <w:pPr>
        <w:widowControl/>
        <w:rPr>
          <w:rFonts w:cs="宋体"/>
          <w:sz w:val="24"/>
        </w:rPr>
      </w:pPr>
      <w:r>
        <w:rPr>
          <w:rFonts w:hint="eastAsia" w:cs="宋体"/>
          <w:sz w:val="24"/>
        </w:rPr>
        <w:t>10.</w:t>
      </w:r>
      <w:r>
        <w:rPr>
          <w:rFonts w:hint="eastAsia" w:cs="宋体"/>
          <w:sz w:val="24"/>
        </w:rPr>
        <w:tab/>
      </w:r>
      <w:r>
        <w:rPr>
          <w:rFonts w:hint="eastAsia" w:cs="宋体"/>
          <w:sz w:val="24"/>
        </w:rPr>
        <w:t>商业银行压力测试研究</w:t>
      </w:r>
    </w:p>
    <w:p w14:paraId="1976F0A9">
      <w:pPr>
        <w:widowControl/>
        <w:rPr>
          <w:rFonts w:cs="宋体"/>
          <w:sz w:val="24"/>
        </w:rPr>
      </w:pPr>
      <w:r>
        <w:rPr>
          <w:rFonts w:hint="eastAsia" w:cs="宋体"/>
          <w:sz w:val="24"/>
        </w:rPr>
        <w:t>11.</w:t>
      </w:r>
      <w:r>
        <w:rPr>
          <w:rFonts w:hint="eastAsia" w:cs="宋体"/>
          <w:sz w:val="24"/>
        </w:rPr>
        <w:tab/>
      </w:r>
      <w:r>
        <w:rPr>
          <w:rFonts w:hint="eastAsia" w:cs="宋体"/>
          <w:sz w:val="24"/>
        </w:rPr>
        <w:t>银行破产研究</w:t>
      </w:r>
    </w:p>
    <w:p w14:paraId="28294DDE">
      <w:pPr>
        <w:widowControl/>
        <w:rPr>
          <w:rFonts w:cs="宋体"/>
          <w:sz w:val="24"/>
        </w:rPr>
      </w:pPr>
      <w:r>
        <w:rPr>
          <w:rFonts w:hint="eastAsia" w:cs="宋体"/>
          <w:sz w:val="24"/>
        </w:rPr>
        <w:t>12.</w:t>
      </w:r>
      <w:r>
        <w:rPr>
          <w:rFonts w:hint="eastAsia" w:cs="宋体"/>
          <w:sz w:val="24"/>
        </w:rPr>
        <w:tab/>
      </w:r>
      <w:r>
        <w:rPr>
          <w:rFonts w:hint="eastAsia" w:cs="宋体"/>
          <w:sz w:val="24"/>
        </w:rPr>
        <w:t>银行客户流失预警研究</w:t>
      </w:r>
    </w:p>
    <w:p w14:paraId="5AE1D437">
      <w:pPr>
        <w:widowControl/>
        <w:rPr>
          <w:rFonts w:cs="宋体"/>
          <w:sz w:val="24"/>
        </w:rPr>
      </w:pPr>
      <w:r>
        <w:rPr>
          <w:rFonts w:hint="eastAsia" w:cs="宋体"/>
          <w:sz w:val="24"/>
        </w:rPr>
        <w:t>13.</w:t>
      </w:r>
      <w:r>
        <w:rPr>
          <w:rFonts w:hint="eastAsia" w:cs="宋体"/>
          <w:sz w:val="24"/>
        </w:rPr>
        <w:tab/>
      </w:r>
      <w:r>
        <w:rPr>
          <w:rFonts w:hint="eastAsia" w:cs="宋体"/>
          <w:sz w:val="24"/>
        </w:rPr>
        <w:t>银行信贷审批研究</w:t>
      </w:r>
    </w:p>
    <w:p w14:paraId="5FF05DB1">
      <w:pPr>
        <w:widowControl/>
        <w:rPr>
          <w:rFonts w:cs="宋体"/>
          <w:sz w:val="24"/>
        </w:rPr>
      </w:pPr>
      <w:r>
        <w:rPr>
          <w:rFonts w:hint="eastAsia" w:cs="宋体"/>
          <w:sz w:val="24"/>
        </w:rPr>
        <w:t>14.</w:t>
      </w:r>
      <w:r>
        <w:rPr>
          <w:rFonts w:hint="eastAsia" w:cs="宋体"/>
          <w:sz w:val="24"/>
        </w:rPr>
        <w:tab/>
      </w:r>
      <w:r>
        <w:rPr>
          <w:rFonts w:hint="eastAsia" w:cs="宋体"/>
          <w:sz w:val="24"/>
        </w:rPr>
        <w:t>银行客户精准营销决策</w:t>
      </w:r>
    </w:p>
    <w:p w14:paraId="61847B05">
      <w:pPr>
        <w:widowControl/>
        <w:rPr>
          <w:rFonts w:cs="宋体"/>
          <w:sz w:val="24"/>
        </w:rPr>
      </w:pPr>
      <w:r>
        <w:rPr>
          <w:rFonts w:hint="eastAsia" w:cs="宋体"/>
          <w:sz w:val="24"/>
        </w:rPr>
        <w:t>15.</w:t>
      </w:r>
      <w:r>
        <w:rPr>
          <w:rFonts w:hint="eastAsia" w:cs="宋体"/>
          <w:sz w:val="24"/>
        </w:rPr>
        <w:tab/>
      </w:r>
      <w:r>
        <w:rPr>
          <w:rFonts w:hint="eastAsia" w:cs="宋体"/>
          <w:sz w:val="24"/>
        </w:rPr>
        <w:t>银行客户关系管理研究</w:t>
      </w:r>
    </w:p>
    <w:p w14:paraId="25214C09">
      <w:pPr>
        <w:widowControl/>
        <w:rPr>
          <w:rFonts w:cs="宋体"/>
          <w:sz w:val="24"/>
        </w:rPr>
      </w:pPr>
      <w:r>
        <w:rPr>
          <w:rFonts w:hint="eastAsia" w:cs="宋体"/>
          <w:sz w:val="24"/>
        </w:rPr>
        <w:t>16.</w:t>
      </w:r>
      <w:r>
        <w:rPr>
          <w:rFonts w:hint="eastAsia" w:cs="宋体"/>
          <w:sz w:val="24"/>
        </w:rPr>
        <w:tab/>
      </w:r>
      <w:r>
        <w:rPr>
          <w:rFonts w:hint="eastAsia" w:cs="宋体"/>
          <w:sz w:val="24"/>
        </w:rPr>
        <w:t>不良资产处置回收研究</w:t>
      </w:r>
    </w:p>
    <w:p w14:paraId="35190860">
      <w:pPr>
        <w:widowControl/>
        <w:rPr>
          <w:rFonts w:cs="宋体"/>
          <w:sz w:val="24"/>
        </w:rPr>
      </w:pPr>
      <w:r>
        <w:rPr>
          <w:rFonts w:hint="eastAsia" w:cs="宋体"/>
          <w:sz w:val="24"/>
        </w:rPr>
        <w:t>17.</w:t>
      </w:r>
      <w:r>
        <w:rPr>
          <w:rFonts w:hint="eastAsia" w:cs="宋体"/>
          <w:sz w:val="24"/>
        </w:rPr>
        <w:tab/>
      </w:r>
      <w:r>
        <w:rPr>
          <w:rFonts w:hint="eastAsia" w:cs="宋体"/>
          <w:sz w:val="24"/>
        </w:rPr>
        <w:t>个人信贷客户违约预测研究</w:t>
      </w:r>
    </w:p>
    <w:p w14:paraId="60197BAE">
      <w:pPr>
        <w:widowControl/>
        <w:rPr>
          <w:rFonts w:cs="宋体"/>
          <w:sz w:val="24"/>
        </w:rPr>
      </w:pPr>
      <w:r>
        <w:rPr>
          <w:rFonts w:hint="eastAsia" w:cs="宋体"/>
          <w:sz w:val="24"/>
        </w:rPr>
        <w:t>18.</w:t>
      </w:r>
      <w:r>
        <w:rPr>
          <w:rFonts w:hint="eastAsia" w:cs="宋体"/>
          <w:sz w:val="24"/>
        </w:rPr>
        <w:tab/>
      </w:r>
      <w:r>
        <w:rPr>
          <w:rFonts w:hint="eastAsia" w:cs="宋体"/>
          <w:sz w:val="24"/>
        </w:rPr>
        <w:t>消费信贷风险决策研究</w:t>
      </w:r>
    </w:p>
    <w:p w14:paraId="34C352D9">
      <w:pPr>
        <w:widowControl/>
        <w:rPr>
          <w:rFonts w:cs="宋体"/>
          <w:sz w:val="24"/>
        </w:rPr>
      </w:pPr>
      <w:r>
        <w:rPr>
          <w:rFonts w:hint="eastAsia" w:cs="宋体"/>
          <w:sz w:val="24"/>
        </w:rPr>
        <w:t>19.</w:t>
      </w:r>
      <w:r>
        <w:rPr>
          <w:rFonts w:hint="eastAsia" w:cs="宋体"/>
          <w:sz w:val="24"/>
        </w:rPr>
        <w:tab/>
      </w:r>
      <w:r>
        <w:rPr>
          <w:rFonts w:hint="eastAsia" w:cs="宋体"/>
          <w:sz w:val="24"/>
        </w:rPr>
        <w:t>消费金融中的风险管理研究</w:t>
      </w:r>
    </w:p>
    <w:p w14:paraId="2F1111E4">
      <w:pPr>
        <w:widowControl/>
        <w:rPr>
          <w:rFonts w:cs="宋体"/>
          <w:sz w:val="24"/>
        </w:rPr>
      </w:pPr>
      <w:r>
        <w:rPr>
          <w:rFonts w:hint="eastAsia" w:cs="宋体"/>
          <w:sz w:val="24"/>
        </w:rPr>
        <w:t>20.</w:t>
      </w:r>
      <w:r>
        <w:rPr>
          <w:rFonts w:hint="eastAsia" w:cs="宋体"/>
          <w:sz w:val="24"/>
        </w:rPr>
        <w:tab/>
      </w:r>
      <w:r>
        <w:rPr>
          <w:rFonts w:hint="eastAsia" w:cs="宋体"/>
          <w:sz w:val="24"/>
        </w:rPr>
        <w:t>消费信贷资产证券化研究</w:t>
      </w:r>
    </w:p>
    <w:p w14:paraId="2CFBEC03">
      <w:pPr>
        <w:widowControl/>
        <w:rPr>
          <w:rFonts w:cs="宋体"/>
          <w:sz w:val="24"/>
        </w:rPr>
      </w:pPr>
      <w:r>
        <w:rPr>
          <w:rFonts w:hint="eastAsia" w:cs="宋体"/>
          <w:sz w:val="24"/>
        </w:rPr>
        <w:t>21.</w:t>
      </w:r>
      <w:r>
        <w:rPr>
          <w:rFonts w:hint="eastAsia" w:cs="宋体"/>
          <w:sz w:val="24"/>
        </w:rPr>
        <w:tab/>
      </w:r>
      <w:r>
        <w:rPr>
          <w:rFonts w:hint="eastAsia" w:cs="宋体"/>
          <w:sz w:val="24"/>
        </w:rPr>
        <w:t>企业破产和财务危机预警</w:t>
      </w:r>
    </w:p>
    <w:p w14:paraId="27924C07">
      <w:pPr>
        <w:widowControl/>
        <w:rPr>
          <w:rFonts w:cs="宋体"/>
          <w:sz w:val="24"/>
        </w:rPr>
      </w:pPr>
      <w:r>
        <w:rPr>
          <w:rFonts w:hint="eastAsia" w:cs="宋体"/>
          <w:sz w:val="24"/>
        </w:rPr>
        <w:t>22.</w:t>
      </w:r>
      <w:r>
        <w:rPr>
          <w:rFonts w:hint="eastAsia" w:cs="宋体"/>
          <w:sz w:val="24"/>
        </w:rPr>
        <w:tab/>
      </w:r>
      <w:r>
        <w:rPr>
          <w:rFonts w:hint="eastAsia" w:cs="宋体"/>
          <w:sz w:val="24"/>
        </w:rPr>
        <w:t>企业退市预警</w:t>
      </w:r>
    </w:p>
    <w:p w14:paraId="7687FF89">
      <w:pPr>
        <w:widowControl/>
        <w:rPr>
          <w:rFonts w:cs="宋体"/>
          <w:sz w:val="24"/>
        </w:rPr>
      </w:pPr>
      <w:r>
        <w:rPr>
          <w:rFonts w:hint="eastAsia" w:cs="宋体"/>
          <w:sz w:val="24"/>
        </w:rPr>
        <w:t>23.</w:t>
      </w:r>
      <w:r>
        <w:rPr>
          <w:rFonts w:hint="eastAsia" w:cs="宋体"/>
          <w:sz w:val="24"/>
        </w:rPr>
        <w:tab/>
      </w:r>
      <w:r>
        <w:rPr>
          <w:rFonts w:hint="eastAsia" w:cs="宋体"/>
          <w:sz w:val="24"/>
        </w:rPr>
        <w:t>金融科技与商业银行研究</w:t>
      </w:r>
    </w:p>
    <w:p w14:paraId="4900741D">
      <w:pPr>
        <w:widowControl/>
        <w:rPr>
          <w:rFonts w:cs="宋体"/>
          <w:sz w:val="24"/>
        </w:rPr>
      </w:pPr>
      <w:r>
        <w:rPr>
          <w:rFonts w:hint="eastAsia" w:cs="宋体"/>
          <w:sz w:val="24"/>
        </w:rPr>
        <w:t>24.</w:t>
      </w:r>
      <w:r>
        <w:rPr>
          <w:rFonts w:hint="eastAsia" w:cs="宋体"/>
          <w:sz w:val="24"/>
        </w:rPr>
        <w:tab/>
      </w:r>
      <w:r>
        <w:rPr>
          <w:rFonts w:hint="eastAsia" w:cs="宋体"/>
          <w:sz w:val="24"/>
        </w:rPr>
        <w:t>金融科技与消费金融研究</w:t>
      </w:r>
    </w:p>
    <w:p w14:paraId="52B295B6">
      <w:pPr>
        <w:widowControl/>
        <w:rPr>
          <w:rFonts w:cs="宋体"/>
          <w:sz w:val="24"/>
        </w:rPr>
      </w:pPr>
      <w:r>
        <w:rPr>
          <w:rFonts w:hint="eastAsia" w:cs="宋体"/>
          <w:sz w:val="24"/>
        </w:rPr>
        <w:t>25.</w:t>
      </w:r>
      <w:r>
        <w:rPr>
          <w:rFonts w:hint="eastAsia" w:cs="宋体"/>
          <w:sz w:val="24"/>
        </w:rPr>
        <w:tab/>
      </w:r>
      <w:r>
        <w:rPr>
          <w:rFonts w:hint="eastAsia" w:cs="宋体"/>
          <w:sz w:val="24"/>
        </w:rPr>
        <w:t>金融科技在金融风险管理中的应用研究</w:t>
      </w:r>
    </w:p>
    <w:p w14:paraId="0F287B1F">
      <w:pPr>
        <w:widowControl/>
        <w:rPr>
          <w:rFonts w:cs="宋体"/>
          <w:sz w:val="24"/>
        </w:rPr>
      </w:pPr>
      <w:r>
        <w:rPr>
          <w:rFonts w:hint="eastAsia" w:cs="宋体"/>
          <w:sz w:val="24"/>
        </w:rPr>
        <w:t>26.</w:t>
      </w:r>
      <w:r>
        <w:rPr>
          <w:rFonts w:hint="eastAsia" w:cs="宋体"/>
          <w:sz w:val="24"/>
        </w:rPr>
        <w:tab/>
      </w:r>
      <w:r>
        <w:rPr>
          <w:rFonts w:hint="eastAsia" w:cs="宋体"/>
          <w:sz w:val="24"/>
        </w:rPr>
        <w:t>金融科技与反欺诈</w:t>
      </w:r>
    </w:p>
    <w:p w14:paraId="02FC7D12">
      <w:pPr>
        <w:widowControl/>
        <w:rPr>
          <w:rFonts w:cs="宋体"/>
          <w:sz w:val="24"/>
        </w:rPr>
      </w:pPr>
      <w:r>
        <w:rPr>
          <w:rFonts w:hint="eastAsia" w:cs="宋体"/>
          <w:sz w:val="24"/>
        </w:rPr>
        <w:t>27.</w:t>
      </w:r>
      <w:r>
        <w:rPr>
          <w:rFonts w:hint="eastAsia" w:cs="宋体"/>
          <w:sz w:val="24"/>
        </w:rPr>
        <w:tab/>
      </w:r>
      <w:r>
        <w:rPr>
          <w:rFonts w:hint="eastAsia" w:cs="宋体"/>
          <w:sz w:val="24"/>
        </w:rPr>
        <w:t>信用风险模型中的若干问题研究</w:t>
      </w:r>
    </w:p>
    <w:p w14:paraId="635EAF79">
      <w:pPr>
        <w:widowControl/>
        <w:rPr>
          <w:rFonts w:cs="宋体"/>
          <w:sz w:val="24"/>
        </w:rPr>
      </w:pPr>
      <w:r>
        <w:rPr>
          <w:rFonts w:hint="eastAsia" w:cs="宋体"/>
          <w:sz w:val="24"/>
        </w:rPr>
        <w:t>28.</w:t>
      </w:r>
      <w:r>
        <w:rPr>
          <w:rFonts w:hint="eastAsia" w:cs="宋体"/>
          <w:sz w:val="24"/>
        </w:rPr>
        <w:tab/>
      </w:r>
      <w:r>
        <w:rPr>
          <w:rFonts w:hint="eastAsia" w:cs="宋体"/>
          <w:sz w:val="24"/>
        </w:rPr>
        <w:t>非平衡样本建模研究</w:t>
      </w:r>
    </w:p>
    <w:p w14:paraId="29390A33">
      <w:pPr>
        <w:widowControl/>
        <w:rPr>
          <w:rFonts w:cs="宋体"/>
          <w:sz w:val="24"/>
        </w:rPr>
      </w:pPr>
      <w:r>
        <w:rPr>
          <w:rFonts w:hint="eastAsia" w:cs="宋体"/>
          <w:sz w:val="24"/>
        </w:rPr>
        <w:t>29.</w:t>
      </w:r>
      <w:r>
        <w:rPr>
          <w:rFonts w:hint="eastAsia" w:cs="宋体"/>
          <w:sz w:val="24"/>
        </w:rPr>
        <w:tab/>
      </w:r>
      <w:r>
        <w:rPr>
          <w:rFonts w:hint="eastAsia" w:cs="宋体"/>
          <w:sz w:val="24"/>
        </w:rPr>
        <w:t>数据缺失问题研究</w:t>
      </w:r>
    </w:p>
    <w:p w14:paraId="55631D47">
      <w:pPr>
        <w:widowControl/>
        <w:rPr>
          <w:rFonts w:cs="宋体"/>
          <w:sz w:val="24"/>
        </w:rPr>
      </w:pPr>
      <w:r>
        <w:rPr>
          <w:rFonts w:hint="eastAsia" w:cs="宋体"/>
          <w:sz w:val="24"/>
        </w:rPr>
        <w:t>30.</w:t>
      </w:r>
      <w:r>
        <w:rPr>
          <w:rFonts w:hint="eastAsia" w:cs="宋体"/>
          <w:sz w:val="24"/>
        </w:rPr>
        <w:tab/>
      </w:r>
      <w:r>
        <w:rPr>
          <w:rFonts w:hint="eastAsia" w:cs="宋体"/>
          <w:sz w:val="24"/>
        </w:rPr>
        <w:t>机器学习和集成模型在信用风险管理中的应用研究</w:t>
      </w:r>
    </w:p>
    <w:p w14:paraId="08E202E5">
      <w:pPr>
        <w:widowControl/>
        <w:rPr>
          <w:rFonts w:cs="宋体"/>
          <w:sz w:val="24"/>
        </w:rPr>
      </w:pPr>
    </w:p>
    <w:p w14:paraId="5530B65E">
      <w:pPr>
        <w:pStyle w:val="2"/>
        <w:ind w:left="-359" w:leftChars="-171" w:firstLine="181" w:firstLineChars="50"/>
        <w:rPr>
          <w:rFonts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第</w:t>
      </w:r>
      <w:r>
        <w:rPr>
          <w:rFonts w:hint="eastAsia" w:ascii="Times New Roman" w:hAnsi="Times New Roman" w:eastAsia="楷体_GB2312" w:cs="宋体"/>
          <w:b/>
          <w:color w:val="000000"/>
          <w:sz w:val="36"/>
          <w:szCs w:val="36"/>
          <w:lang w:val="en-US" w:eastAsia="zh-CN"/>
        </w:rPr>
        <w:t>六</w:t>
      </w:r>
      <w:r>
        <w:rPr>
          <w:rFonts w:hint="eastAsia" w:ascii="Times New Roman" w:hAnsi="Times New Roman" w:eastAsia="楷体_GB2312" w:cs="宋体"/>
          <w:b/>
          <w:color w:val="000000"/>
          <w:sz w:val="36"/>
          <w:szCs w:val="36"/>
        </w:rPr>
        <w:t>部分</w:t>
      </w:r>
    </w:p>
    <w:p w14:paraId="0839A728">
      <w:pPr>
        <w:pStyle w:val="2"/>
        <w:ind w:left="-359" w:leftChars="-171" w:firstLine="181" w:firstLineChars="50"/>
        <w:rPr>
          <w:rFonts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【金融科技】选题指南</w:t>
      </w:r>
    </w:p>
    <w:p w14:paraId="067AA69F">
      <w:pPr>
        <w:widowControl/>
        <w:numPr>
          <w:ilvl w:val="0"/>
          <w:numId w:val="2"/>
        </w:numPr>
        <w:rPr>
          <w:rFonts w:cs="宋体"/>
          <w:sz w:val="24"/>
        </w:rPr>
      </w:pPr>
      <w:r>
        <w:rPr>
          <w:rFonts w:hint="eastAsia" w:cs="宋体"/>
          <w:sz w:val="24"/>
        </w:rPr>
        <w:t>深度学习的资产定价应用</w:t>
      </w:r>
    </w:p>
    <w:p w14:paraId="2E223855">
      <w:pPr>
        <w:widowControl/>
        <w:numPr>
          <w:ilvl w:val="0"/>
          <w:numId w:val="2"/>
        </w:numPr>
        <w:rPr>
          <w:rFonts w:cs="宋体"/>
          <w:sz w:val="24"/>
        </w:rPr>
      </w:pPr>
      <w:r>
        <w:rPr>
          <w:rFonts w:hint="eastAsia" w:cs="宋体"/>
          <w:sz w:val="24"/>
        </w:rPr>
        <w:t>金融预测和分类问题的深度学习模型研究</w:t>
      </w:r>
    </w:p>
    <w:p w14:paraId="2024E644">
      <w:pPr>
        <w:widowControl/>
        <w:numPr>
          <w:ilvl w:val="0"/>
          <w:numId w:val="2"/>
        </w:numPr>
        <w:rPr>
          <w:rFonts w:cs="宋体"/>
          <w:sz w:val="24"/>
        </w:rPr>
      </w:pPr>
      <w:r>
        <w:rPr>
          <w:rFonts w:hint="eastAsia" w:cs="宋体"/>
          <w:sz w:val="24"/>
        </w:rPr>
        <w:t>利用机器学习的实证资产定价研究</w:t>
      </w:r>
    </w:p>
    <w:p w14:paraId="07C53861">
      <w:pPr>
        <w:widowControl/>
        <w:numPr>
          <w:ilvl w:val="0"/>
          <w:numId w:val="2"/>
        </w:numPr>
        <w:rPr>
          <w:rFonts w:cs="宋体"/>
          <w:sz w:val="24"/>
        </w:rPr>
      </w:pPr>
      <w:r>
        <w:rPr>
          <w:rFonts w:hint="eastAsia" w:cs="宋体"/>
          <w:sz w:val="24"/>
        </w:rPr>
        <w:t>基于大数据挖掘的实证资产定价研究</w:t>
      </w:r>
    </w:p>
    <w:p w14:paraId="169BEB90">
      <w:pPr>
        <w:widowControl/>
        <w:numPr>
          <w:ilvl w:val="0"/>
          <w:numId w:val="2"/>
        </w:numPr>
        <w:rPr>
          <w:rFonts w:cs="宋体"/>
          <w:sz w:val="24"/>
        </w:rPr>
      </w:pPr>
      <w:r>
        <w:rPr>
          <w:rFonts w:hint="eastAsia" w:cs="宋体"/>
          <w:sz w:val="24"/>
        </w:rPr>
        <w:t>利用文本挖掘方法预测资产回报的研究</w:t>
      </w:r>
    </w:p>
    <w:p w14:paraId="5BD611D1">
      <w:pPr>
        <w:widowControl/>
        <w:numPr>
          <w:ilvl w:val="0"/>
          <w:numId w:val="2"/>
        </w:numPr>
        <w:rPr>
          <w:rFonts w:cs="宋体"/>
          <w:sz w:val="24"/>
        </w:rPr>
      </w:pPr>
      <w:r>
        <w:rPr>
          <w:rFonts w:hint="eastAsia" w:cs="宋体"/>
          <w:sz w:val="24"/>
        </w:rPr>
        <w:t>无监督学习在因子投资中的应用研究</w:t>
      </w:r>
    </w:p>
    <w:p w14:paraId="3FF1BEA9">
      <w:pPr>
        <w:widowControl/>
        <w:numPr>
          <w:ilvl w:val="0"/>
          <w:numId w:val="2"/>
        </w:numPr>
        <w:rPr>
          <w:rFonts w:cs="宋体"/>
          <w:sz w:val="24"/>
        </w:rPr>
      </w:pPr>
      <w:r>
        <w:rPr>
          <w:rFonts w:hint="eastAsia" w:cs="宋体"/>
          <w:sz w:val="24"/>
        </w:rPr>
        <w:t>文本大数据、分析师关注度与股价崩盘风险的研究</w:t>
      </w:r>
    </w:p>
    <w:p w14:paraId="2B82E54C">
      <w:pPr>
        <w:widowControl/>
        <w:numPr>
          <w:ilvl w:val="0"/>
          <w:numId w:val="2"/>
        </w:numPr>
        <w:rPr>
          <w:rFonts w:cs="宋体"/>
          <w:sz w:val="24"/>
        </w:rPr>
      </w:pPr>
      <w:r>
        <w:rPr>
          <w:rFonts w:hint="eastAsia" w:cs="宋体"/>
          <w:sz w:val="24"/>
        </w:rPr>
        <w:t>文本大数据、投资者情绪与股价崩盘风险的研究</w:t>
      </w:r>
    </w:p>
    <w:p w14:paraId="69931C20">
      <w:pPr>
        <w:widowControl/>
        <w:numPr>
          <w:ilvl w:val="0"/>
          <w:numId w:val="2"/>
        </w:numPr>
        <w:rPr>
          <w:rFonts w:cs="宋体"/>
          <w:sz w:val="24"/>
        </w:rPr>
      </w:pPr>
      <w:r>
        <w:rPr>
          <w:rFonts w:hint="eastAsia" w:cs="宋体"/>
          <w:sz w:val="24"/>
        </w:rPr>
        <w:t>文本大数据、媒体关注度与股价崩盘风险的研究</w:t>
      </w:r>
    </w:p>
    <w:p w14:paraId="19C204C4">
      <w:pPr>
        <w:widowControl/>
        <w:numPr>
          <w:ilvl w:val="0"/>
          <w:numId w:val="2"/>
        </w:numPr>
        <w:rPr>
          <w:rFonts w:cs="宋体"/>
          <w:sz w:val="24"/>
        </w:rPr>
      </w:pPr>
      <w:r>
        <w:rPr>
          <w:rFonts w:hint="eastAsia" w:cs="宋体"/>
          <w:sz w:val="24"/>
        </w:rPr>
        <w:t>基于卷积网络与注意力机制的文本情感分析研究</w:t>
      </w:r>
    </w:p>
    <w:p w14:paraId="3351F438">
      <w:pPr>
        <w:pStyle w:val="2"/>
        <w:ind w:left="-359" w:leftChars="-171" w:firstLine="181" w:firstLineChars="50"/>
        <w:rPr>
          <w:rFonts w:ascii="Times New Roman" w:hAnsi="Times New Roman" w:eastAsia="楷体_GB2312" w:cs="宋体"/>
          <w:b/>
          <w:color w:val="000000"/>
          <w:sz w:val="36"/>
          <w:szCs w:val="36"/>
        </w:rPr>
      </w:pPr>
    </w:p>
    <w:p w14:paraId="2911B51F">
      <w:pPr>
        <w:pStyle w:val="2"/>
        <w:ind w:left="-359" w:leftChars="-171" w:firstLine="181" w:firstLineChars="50"/>
        <w:rPr>
          <w:rFonts w:cs="宋体"/>
          <w:sz w:val="24"/>
        </w:rPr>
      </w:pPr>
      <w:r>
        <w:rPr>
          <w:rFonts w:hint="eastAsia" w:ascii="Times New Roman" w:hAnsi="Times New Roman" w:eastAsia="楷体_GB2312" w:cs="宋体"/>
          <w:b/>
          <w:color w:val="000000"/>
          <w:sz w:val="36"/>
          <w:szCs w:val="36"/>
        </w:rPr>
        <w:t>第</w:t>
      </w:r>
      <w:r>
        <w:rPr>
          <w:rFonts w:hint="eastAsia" w:ascii="Times New Roman" w:hAnsi="Times New Roman" w:eastAsia="楷体_GB2312" w:cs="宋体"/>
          <w:b/>
          <w:color w:val="000000"/>
          <w:sz w:val="36"/>
          <w:szCs w:val="36"/>
          <w:lang w:val="en-US" w:eastAsia="zh-CN"/>
        </w:rPr>
        <w:t>七</w:t>
      </w:r>
      <w:r>
        <w:rPr>
          <w:rFonts w:hint="eastAsia" w:ascii="Times New Roman" w:hAnsi="Times New Roman" w:eastAsia="楷体_GB2312" w:cs="宋体"/>
          <w:b/>
          <w:color w:val="000000"/>
          <w:sz w:val="36"/>
          <w:szCs w:val="36"/>
        </w:rPr>
        <w:t>部分</w:t>
      </w:r>
    </w:p>
    <w:p w14:paraId="7D28D40C">
      <w:pPr>
        <w:pStyle w:val="2"/>
        <w:ind w:left="-359" w:leftChars="-171" w:firstLine="181" w:firstLineChars="50"/>
        <w:rPr>
          <w:rFonts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【金融学（智能金融与区块链金融）】选题指南</w:t>
      </w:r>
    </w:p>
    <w:p w14:paraId="1079C336">
      <w:pPr>
        <w:widowControl/>
        <w:rPr>
          <w:rFonts w:cs="宋体"/>
          <w:sz w:val="24"/>
        </w:rPr>
      </w:pPr>
      <w:r>
        <w:rPr>
          <w:rFonts w:cs="宋体"/>
          <w:sz w:val="24"/>
        </w:rPr>
        <w:t>1.区块链和分布式账本技术在金融领域的应用</w:t>
      </w:r>
    </w:p>
    <w:p w14:paraId="58FDB14F">
      <w:pPr>
        <w:widowControl/>
        <w:rPr>
          <w:rFonts w:cs="宋体"/>
          <w:sz w:val="24"/>
        </w:rPr>
      </w:pPr>
      <w:r>
        <w:rPr>
          <w:rFonts w:cs="宋体"/>
          <w:sz w:val="24"/>
        </w:rPr>
        <w:t>2.数字支付和消费者行为</w:t>
      </w:r>
    </w:p>
    <w:p w14:paraId="76CC19F6">
      <w:pPr>
        <w:widowControl/>
        <w:rPr>
          <w:rFonts w:cs="宋体"/>
          <w:sz w:val="24"/>
        </w:rPr>
      </w:pPr>
      <w:r>
        <w:rPr>
          <w:rFonts w:cs="宋体"/>
          <w:sz w:val="24"/>
        </w:rPr>
        <w:t>3.金融科技对传统银行业务的影响</w:t>
      </w:r>
    </w:p>
    <w:p w14:paraId="6D43E0A7">
      <w:pPr>
        <w:widowControl/>
        <w:rPr>
          <w:rFonts w:cs="宋体"/>
          <w:sz w:val="24"/>
        </w:rPr>
      </w:pPr>
      <w:r>
        <w:rPr>
          <w:rFonts w:cs="宋体"/>
          <w:sz w:val="24"/>
        </w:rPr>
        <w:t>4 .CBDC对货币政策的影响</w:t>
      </w:r>
    </w:p>
    <w:p w14:paraId="4C70BC9D">
      <w:pPr>
        <w:widowControl/>
        <w:rPr>
          <w:rFonts w:cs="宋体"/>
          <w:sz w:val="24"/>
        </w:rPr>
      </w:pPr>
      <w:r>
        <w:rPr>
          <w:rFonts w:cs="宋体"/>
          <w:sz w:val="24"/>
        </w:rPr>
        <w:t>5.区块链技术在金融监管中的应用</w:t>
      </w:r>
    </w:p>
    <w:p w14:paraId="0FD35F89">
      <w:pPr>
        <w:widowControl/>
        <w:rPr>
          <w:rFonts w:cs="宋体"/>
          <w:sz w:val="24"/>
        </w:rPr>
      </w:pPr>
      <w:r>
        <w:rPr>
          <w:rFonts w:cs="宋体"/>
          <w:sz w:val="24"/>
        </w:rPr>
        <w:t>6.文本大数据：经济政策不确定性与市场交易信号的研究</w:t>
      </w:r>
    </w:p>
    <w:p w14:paraId="2F60314A">
      <w:pPr>
        <w:widowControl/>
        <w:rPr>
          <w:rFonts w:cs="宋体"/>
          <w:sz w:val="24"/>
        </w:rPr>
      </w:pPr>
      <w:r>
        <w:rPr>
          <w:rFonts w:cs="宋体"/>
          <w:sz w:val="24"/>
        </w:rPr>
        <w:t>7.文本大数据：金融市场不确定性与隐含波动率指数的研究</w:t>
      </w:r>
    </w:p>
    <w:p w14:paraId="23D21F34">
      <w:pPr>
        <w:widowControl/>
        <w:rPr>
          <w:rFonts w:cs="宋体"/>
          <w:sz w:val="24"/>
        </w:rPr>
      </w:pPr>
      <w:r>
        <w:rPr>
          <w:rFonts w:cs="宋体"/>
          <w:sz w:val="24"/>
        </w:rPr>
        <w:t>8.基于图神经网络的实证资产定价研究</w:t>
      </w:r>
    </w:p>
    <w:p w14:paraId="4CD0DD89">
      <w:pPr>
        <w:widowControl/>
        <w:rPr>
          <w:rFonts w:cs="宋体"/>
          <w:sz w:val="24"/>
        </w:rPr>
      </w:pPr>
      <w:r>
        <w:rPr>
          <w:rFonts w:cs="宋体"/>
          <w:sz w:val="24"/>
        </w:rPr>
        <w:t>9.基于图神经网络的股价崩盘风险研究</w:t>
      </w:r>
    </w:p>
    <w:p w14:paraId="24817515">
      <w:pPr>
        <w:widowControl/>
        <w:rPr>
          <w:rFonts w:cs="宋体"/>
          <w:sz w:val="24"/>
        </w:rPr>
      </w:pPr>
      <w:r>
        <w:rPr>
          <w:rFonts w:cs="宋体"/>
          <w:sz w:val="24"/>
        </w:rPr>
        <w:t>10. 区块链技术与资本市场/金融风险管理/金融监管</w:t>
      </w:r>
    </w:p>
    <w:p w14:paraId="0C01D4C1">
      <w:pPr>
        <w:widowControl/>
        <w:rPr>
          <w:rFonts w:cs="宋体"/>
          <w:sz w:val="24"/>
        </w:rPr>
      </w:pPr>
      <w:r>
        <w:rPr>
          <w:rFonts w:cs="宋体"/>
          <w:sz w:val="24"/>
        </w:rPr>
        <w:t>11. 区块链技术与供应链金融</w:t>
      </w:r>
    </w:p>
    <w:p w14:paraId="2F329DD1">
      <w:pPr>
        <w:widowControl/>
        <w:rPr>
          <w:rFonts w:cs="宋体"/>
          <w:sz w:val="24"/>
        </w:rPr>
      </w:pPr>
      <w:r>
        <w:rPr>
          <w:rFonts w:cs="宋体"/>
          <w:sz w:val="24"/>
        </w:rPr>
        <w:t>12.人工智能在金融科技领域的应用</w:t>
      </w:r>
    </w:p>
    <w:p w14:paraId="3C2D79C2">
      <w:pPr>
        <w:widowControl/>
        <w:rPr>
          <w:rFonts w:cs="宋体"/>
          <w:sz w:val="24"/>
        </w:rPr>
      </w:pPr>
    </w:p>
    <w:p w14:paraId="13A76817">
      <w:pPr>
        <w:pStyle w:val="2"/>
        <w:ind w:left="-359" w:leftChars="-171" w:firstLine="181" w:firstLineChars="50"/>
        <w:rPr>
          <w:rFonts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第</w:t>
      </w:r>
      <w:r>
        <w:rPr>
          <w:rFonts w:hint="eastAsia" w:ascii="Times New Roman" w:hAnsi="Times New Roman" w:eastAsia="楷体_GB2312" w:cs="宋体"/>
          <w:b/>
          <w:color w:val="000000"/>
          <w:sz w:val="36"/>
          <w:szCs w:val="36"/>
          <w:lang w:val="en-US" w:eastAsia="zh-CN"/>
        </w:rPr>
        <w:t>八</w:t>
      </w:r>
      <w:r>
        <w:rPr>
          <w:rFonts w:hint="eastAsia" w:ascii="Times New Roman" w:hAnsi="Times New Roman" w:eastAsia="楷体_GB2312" w:cs="宋体"/>
          <w:b/>
          <w:color w:val="000000"/>
          <w:sz w:val="36"/>
          <w:szCs w:val="36"/>
        </w:rPr>
        <w:t>部分</w:t>
      </w:r>
    </w:p>
    <w:p w14:paraId="40A0803C">
      <w:pPr>
        <w:pStyle w:val="2"/>
        <w:ind w:left="-359" w:leftChars="-171" w:firstLine="181" w:firstLineChars="50"/>
        <w:rPr>
          <w:rFonts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【金融学（证券与期货方向）】选题指南</w:t>
      </w:r>
    </w:p>
    <w:p w14:paraId="2F197515">
      <w:pPr>
        <w:widowControl/>
        <w:rPr>
          <w:rFonts w:cs="宋体"/>
          <w:sz w:val="24"/>
        </w:rPr>
      </w:pPr>
      <w:r>
        <w:rPr>
          <w:rFonts w:hint="eastAsia" w:cs="宋体"/>
          <w:sz w:val="24"/>
        </w:rPr>
        <w:t>1.营销程度与基金业绩的关系研究</w:t>
      </w:r>
    </w:p>
    <w:p w14:paraId="00C3A66D">
      <w:pPr>
        <w:widowControl/>
        <w:rPr>
          <w:rFonts w:cs="宋体"/>
          <w:sz w:val="24"/>
        </w:rPr>
      </w:pPr>
      <w:r>
        <w:rPr>
          <w:rFonts w:hint="eastAsia" w:cs="宋体"/>
          <w:sz w:val="24"/>
        </w:rPr>
        <w:t>2.超额收益的来源与企业社会责任研究</w:t>
      </w:r>
    </w:p>
    <w:p w14:paraId="40A7A60F">
      <w:pPr>
        <w:widowControl/>
        <w:rPr>
          <w:rFonts w:cs="宋体"/>
          <w:sz w:val="24"/>
        </w:rPr>
      </w:pPr>
      <w:r>
        <w:rPr>
          <w:rFonts w:hint="eastAsia" w:cs="宋体"/>
          <w:sz w:val="24"/>
        </w:rPr>
        <w:t>3.注册制改革对新股发行影响相关问题研究</w:t>
      </w:r>
    </w:p>
    <w:p w14:paraId="3C48ECEA">
      <w:pPr>
        <w:widowControl/>
        <w:rPr>
          <w:rFonts w:cs="宋体"/>
          <w:sz w:val="24"/>
        </w:rPr>
      </w:pPr>
      <w:r>
        <w:rPr>
          <w:rFonts w:hint="eastAsia" w:cs="宋体"/>
          <w:sz w:val="24"/>
        </w:rPr>
        <w:t>4.上市公司股票回购动机与市场反应研究</w:t>
      </w:r>
    </w:p>
    <w:p w14:paraId="67BE2C66">
      <w:pPr>
        <w:widowControl/>
        <w:rPr>
          <w:rFonts w:cs="宋体"/>
          <w:sz w:val="24"/>
        </w:rPr>
      </w:pPr>
      <w:r>
        <w:rPr>
          <w:rFonts w:hint="eastAsia" w:cs="宋体"/>
          <w:sz w:val="24"/>
        </w:rPr>
        <w:t>5.上市公司分红政策与股价反映</w:t>
      </w:r>
    </w:p>
    <w:p w14:paraId="18AF1C0B">
      <w:pPr>
        <w:widowControl/>
        <w:rPr>
          <w:rFonts w:cs="宋体"/>
          <w:sz w:val="24"/>
        </w:rPr>
      </w:pPr>
      <w:r>
        <w:rPr>
          <w:rFonts w:hint="eastAsia" w:cs="宋体"/>
          <w:sz w:val="24"/>
        </w:rPr>
        <w:t>6.基金持股和公司盈余管理</w:t>
      </w:r>
    </w:p>
    <w:p w14:paraId="5F6BA997">
      <w:pPr>
        <w:widowControl/>
        <w:rPr>
          <w:rFonts w:cs="宋体"/>
          <w:sz w:val="24"/>
        </w:rPr>
      </w:pPr>
      <w:r>
        <w:rPr>
          <w:rFonts w:hint="eastAsia" w:cs="宋体"/>
          <w:sz w:val="24"/>
        </w:rPr>
        <w:t>7.卖空约束与市场异象的关系</w:t>
      </w:r>
    </w:p>
    <w:p w14:paraId="4D13F774">
      <w:pPr>
        <w:widowControl/>
        <w:rPr>
          <w:rFonts w:cs="宋体"/>
          <w:sz w:val="24"/>
        </w:rPr>
      </w:pPr>
      <w:r>
        <w:rPr>
          <w:rFonts w:hint="eastAsia" w:cs="宋体"/>
          <w:sz w:val="24"/>
        </w:rPr>
        <w:t>8.交易所问询函监管制度研究</w:t>
      </w:r>
    </w:p>
    <w:p w14:paraId="03DF12ED">
      <w:pPr>
        <w:widowControl/>
        <w:rPr>
          <w:rFonts w:cs="宋体"/>
          <w:sz w:val="24"/>
        </w:rPr>
      </w:pPr>
      <w:r>
        <w:rPr>
          <w:rFonts w:hint="eastAsia" w:cs="宋体"/>
          <w:sz w:val="24"/>
        </w:rPr>
        <w:t>9.什么影响了投资者的股票基金投资选择？</w:t>
      </w:r>
    </w:p>
    <w:p w14:paraId="54F38164">
      <w:pPr>
        <w:widowControl/>
        <w:rPr>
          <w:rFonts w:cs="宋体"/>
          <w:sz w:val="24"/>
        </w:rPr>
      </w:pPr>
      <w:r>
        <w:rPr>
          <w:rFonts w:hint="eastAsia" w:cs="宋体"/>
          <w:sz w:val="24"/>
        </w:rPr>
        <w:t>10.全面推行注册制对壳资源价值的影响</w:t>
      </w:r>
    </w:p>
    <w:p w14:paraId="1FC06DE0">
      <w:pPr>
        <w:widowControl/>
        <w:rPr>
          <w:rFonts w:cs="宋体"/>
          <w:sz w:val="24"/>
        </w:rPr>
      </w:pPr>
      <w:r>
        <w:rPr>
          <w:rFonts w:hint="eastAsia" w:cs="宋体"/>
          <w:sz w:val="24"/>
        </w:rPr>
        <w:t>11.股票误定价与企业投融资行为</w:t>
      </w:r>
    </w:p>
    <w:p w14:paraId="6D6B61BA">
      <w:pPr>
        <w:widowControl/>
        <w:rPr>
          <w:rFonts w:cs="宋体"/>
          <w:sz w:val="24"/>
        </w:rPr>
      </w:pPr>
      <w:r>
        <w:rPr>
          <w:rFonts w:hint="eastAsia" w:cs="宋体"/>
          <w:sz w:val="24"/>
        </w:rPr>
        <w:t>12.上市公司股权集中度变化与股票收益率关系研究</w:t>
      </w:r>
    </w:p>
    <w:p w14:paraId="25476DB6">
      <w:pPr>
        <w:widowControl/>
        <w:rPr>
          <w:rFonts w:cs="宋体"/>
          <w:sz w:val="24"/>
        </w:rPr>
      </w:pPr>
      <w:r>
        <w:rPr>
          <w:rFonts w:hint="eastAsia" w:cs="宋体"/>
          <w:sz w:val="24"/>
        </w:rPr>
        <w:t>13.上市公司新闻语调与崩盘风险</w:t>
      </w:r>
    </w:p>
    <w:p w14:paraId="046A360F">
      <w:pPr>
        <w:widowControl/>
        <w:rPr>
          <w:rFonts w:cs="宋体"/>
          <w:sz w:val="24"/>
        </w:rPr>
      </w:pPr>
      <w:r>
        <w:rPr>
          <w:rFonts w:hint="eastAsia" w:cs="宋体"/>
          <w:sz w:val="24"/>
        </w:rPr>
        <w:t>14.公募基金投资行为研究</w:t>
      </w:r>
    </w:p>
    <w:p w14:paraId="11A0CF23">
      <w:pPr>
        <w:widowControl/>
        <w:rPr>
          <w:rFonts w:cs="宋体"/>
          <w:sz w:val="24"/>
        </w:rPr>
      </w:pPr>
      <w:r>
        <w:rPr>
          <w:rFonts w:hint="eastAsia" w:cs="宋体"/>
          <w:sz w:val="24"/>
        </w:rPr>
        <w:t>15.卖空制度与企业投融资决策</w:t>
      </w:r>
    </w:p>
    <w:p w14:paraId="3889A852">
      <w:pPr>
        <w:widowControl/>
        <w:rPr>
          <w:rFonts w:cs="宋体"/>
          <w:sz w:val="24"/>
        </w:rPr>
      </w:pPr>
      <w:r>
        <w:rPr>
          <w:rFonts w:hint="eastAsia" w:cs="宋体"/>
          <w:sz w:val="24"/>
        </w:rPr>
        <w:t>16.融资约束与企业创新</w:t>
      </w:r>
    </w:p>
    <w:p w14:paraId="0AA06264">
      <w:pPr>
        <w:widowControl/>
        <w:rPr>
          <w:rFonts w:cs="宋体"/>
          <w:sz w:val="24"/>
        </w:rPr>
      </w:pPr>
      <w:r>
        <w:rPr>
          <w:rFonts w:hint="eastAsia" w:cs="宋体"/>
          <w:sz w:val="24"/>
        </w:rPr>
        <w:t>17.交叉持股、共同股东与行业竞争</w:t>
      </w:r>
    </w:p>
    <w:p w14:paraId="09DADF1F">
      <w:pPr>
        <w:widowControl/>
        <w:rPr>
          <w:rFonts w:cs="宋体"/>
          <w:sz w:val="24"/>
        </w:rPr>
      </w:pPr>
      <w:r>
        <w:rPr>
          <w:rFonts w:hint="eastAsia" w:cs="宋体"/>
          <w:sz w:val="24"/>
        </w:rPr>
        <w:t>18.投资者情绪对基金排名的影响</w:t>
      </w:r>
    </w:p>
    <w:p w14:paraId="4E52AF37">
      <w:pPr>
        <w:widowControl/>
        <w:rPr>
          <w:rFonts w:cs="宋体"/>
          <w:sz w:val="24"/>
        </w:rPr>
      </w:pPr>
      <w:r>
        <w:rPr>
          <w:rFonts w:hint="eastAsia" w:cs="宋体"/>
          <w:sz w:val="24"/>
        </w:rPr>
        <w:t>19.社交媒体中的重复信息对于市场定价的影响</w:t>
      </w:r>
    </w:p>
    <w:p w14:paraId="4032ED12">
      <w:pPr>
        <w:widowControl/>
        <w:rPr>
          <w:rFonts w:cs="宋体"/>
          <w:sz w:val="24"/>
        </w:rPr>
      </w:pPr>
      <w:r>
        <w:rPr>
          <w:rFonts w:hint="eastAsia" w:cs="宋体"/>
          <w:sz w:val="24"/>
        </w:rPr>
        <w:t>20.绿色金融与企业社会责任研究</w:t>
      </w:r>
    </w:p>
    <w:p w14:paraId="1C58DF36">
      <w:pPr>
        <w:widowControl/>
        <w:rPr>
          <w:rFonts w:cs="宋体"/>
          <w:sz w:val="24"/>
        </w:rPr>
      </w:pPr>
      <w:r>
        <w:rPr>
          <w:rFonts w:hint="eastAsia" w:cs="宋体"/>
          <w:sz w:val="24"/>
        </w:rPr>
        <w:t>21.融资约束对企业经济行为影响相关问题研究</w:t>
      </w:r>
    </w:p>
    <w:p w14:paraId="40A4C675">
      <w:pPr>
        <w:widowControl/>
        <w:rPr>
          <w:rFonts w:cs="宋体"/>
          <w:sz w:val="24"/>
        </w:rPr>
      </w:pPr>
      <w:r>
        <w:rPr>
          <w:rFonts w:hint="eastAsia" w:cs="宋体"/>
          <w:sz w:val="24"/>
        </w:rPr>
        <w:t>22.媒体报道对上市公司投资行为的影响</w:t>
      </w:r>
    </w:p>
    <w:p w14:paraId="04E90009">
      <w:pPr>
        <w:widowControl/>
        <w:rPr>
          <w:rFonts w:cs="宋体"/>
          <w:sz w:val="24"/>
        </w:rPr>
      </w:pPr>
      <w:r>
        <w:rPr>
          <w:rFonts w:hint="eastAsia" w:cs="宋体"/>
          <w:sz w:val="24"/>
        </w:rPr>
        <w:t>23.机构投资者与个人投资者的基金选择偏好差异</w:t>
      </w:r>
    </w:p>
    <w:p w14:paraId="7E84CEB6">
      <w:pPr>
        <w:widowControl/>
        <w:rPr>
          <w:rFonts w:cs="宋体"/>
          <w:sz w:val="24"/>
        </w:rPr>
      </w:pPr>
      <w:r>
        <w:rPr>
          <w:rFonts w:hint="eastAsia" w:cs="宋体"/>
          <w:sz w:val="24"/>
        </w:rPr>
        <w:t>24.证券市场各种异象研究</w:t>
      </w:r>
    </w:p>
    <w:p w14:paraId="440DAA82">
      <w:pPr>
        <w:widowControl/>
        <w:rPr>
          <w:rFonts w:cs="宋体"/>
          <w:sz w:val="24"/>
        </w:rPr>
      </w:pPr>
      <w:r>
        <w:rPr>
          <w:rFonts w:hint="eastAsia" w:cs="宋体"/>
          <w:sz w:val="24"/>
        </w:rPr>
        <w:t>25.市场开放与市场异象的关系</w:t>
      </w:r>
    </w:p>
    <w:p w14:paraId="2AA49750">
      <w:pPr>
        <w:widowControl/>
        <w:rPr>
          <w:rFonts w:cs="宋体"/>
          <w:sz w:val="24"/>
        </w:rPr>
      </w:pPr>
      <w:r>
        <w:rPr>
          <w:rFonts w:hint="eastAsia" w:cs="宋体"/>
          <w:sz w:val="24"/>
        </w:rPr>
        <w:t>26.上市公司高管离职行为研究</w:t>
      </w:r>
    </w:p>
    <w:p w14:paraId="0B5EB91E">
      <w:pPr>
        <w:widowControl/>
        <w:rPr>
          <w:rFonts w:cs="宋体"/>
          <w:sz w:val="24"/>
        </w:rPr>
      </w:pPr>
      <w:r>
        <w:rPr>
          <w:rFonts w:hint="eastAsia" w:cs="宋体"/>
          <w:sz w:val="24"/>
        </w:rPr>
        <w:t>27.ESG评级影响股票的预期收益吗？</w:t>
      </w:r>
    </w:p>
    <w:p w14:paraId="02D497E6">
      <w:pPr>
        <w:widowControl/>
        <w:rPr>
          <w:rFonts w:cs="宋体"/>
          <w:sz w:val="24"/>
        </w:rPr>
      </w:pPr>
      <w:r>
        <w:rPr>
          <w:rFonts w:hint="eastAsia" w:cs="宋体"/>
          <w:sz w:val="24"/>
        </w:rPr>
        <w:t>28.公司高管对股价同步性影响</w:t>
      </w:r>
    </w:p>
    <w:p w14:paraId="46DF3665">
      <w:pPr>
        <w:widowControl/>
        <w:rPr>
          <w:rFonts w:cs="宋体"/>
          <w:sz w:val="24"/>
        </w:rPr>
      </w:pPr>
      <w:r>
        <w:rPr>
          <w:rFonts w:hint="eastAsia" w:cs="宋体"/>
          <w:sz w:val="24"/>
        </w:rPr>
        <w:t>29.机构投资者羊群行为与股价波动</w:t>
      </w:r>
    </w:p>
    <w:p w14:paraId="192962AF">
      <w:pPr>
        <w:widowControl/>
        <w:rPr>
          <w:rFonts w:cs="宋体"/>
          <w:sz w:val="24"/>
        </w:rPr>
      </w:pPr>
      <w:r>
        <w:rPr>
          <w:rFonts w:hint="eastAsia" w:cs="宋体"/>
          <w:sz w:val="24"/>
        </w:rPr>
        <w:t>30.超预期业绩报告与股票收益率关系研究</w:t>
      </w:r>
    </w:p>
    <w:p w14:paraId="1D655569">
      <w:pPr>
        <w:widowControl/>
        <w:rPr>
          <w:rFonts w:cs="宋体"/>
          <w:sz w:val="24"/>
        </w:rPr>
      </w:pPr>
      <w:r>
        <w:rPr>
          <w:rFonts w:hint="eastAsia" w:cs="宋体"/>
          <w:sz w:val="24"/>
        </w:rPr>
        <w:t>31.上市公司投资者情绪与崩盘风险</w:t>
      </w:r>
    </w:p>
    <w:p w14:paraId="22F1857B">
      <w:pPr>
        <w:widowControl/>
        <w:rPr>
          <w:rFonts w:cs="宋体"/>
          <w:sz w:val="24"/>
        </w:rPr>
      </w:pPr>
      <w:r>
        <w:rPr>
          <w:rFonts w:hint="eastAsia" w:cs="宋体"/>
          <w:sz w:val="24"/>
        </w:rPr>
        <w:t>32.上市公司业绩披露时机研究</w:t>
      </w:r>
    </w:p>
    <w:p w14:paraId="56E899C8">
      <w:pPr>
        <w:widowControl/>
        <w:rPr>
          <w:rFonts w:cs="宋体"/>
          <w:sz w:val="24"/>
        </w:rPr>
      </w:pPr>
      <w:r>
        <w:rPr>
          <w:rFonts w:hint="eastAsia" w:cs="宋体"/>
          <w:sz w:val="24"/>
        </w:rPr>
        <w:t>33.企业绿色投资行为研究</w:t>
      </w:r>
    </w:p>
    <w:p w14:paraId="682138CE">
      <w:pPr>
        <w:widowControl/>
        <w:rPr>
          <w:rFonts w:cs="宋体"/>
          <w:sz w:val="24"/>
        </w:rPr>
      </w:pPr>
      <w:r>
        <w:rPr>
          <w:rFonts w:hint="eastAsia" w:cs="宋体"/>
          <w:sz w:val="24"/>
        </w:rPr>
        <w:t>34.企业金融化与创新决策</w:t>
      </w:r>
    </w:p>
    <w:p w14:paraId="6BC2C35D">
      <w:pPr>
        <w:widowControl/>
        <w:rPr>
          <w:rFonts w:cs="宋体"/>
          <w:sz w:val="24"/>
        </w:rPr>
      </w:pPr>
      <w:r>
        <w:rPr>
          <w:rFonts w:hint="eastAsia" w:cs="宋体"/>
          <w:sz w:val="24"/>
        </w:rPr>
        <w:t>35.上市公司误定价与并购行为</w:t>
      </w:r>
    </w:p>
    <w:p w14:paraId="23F0534A">
      <w:pPr>
        <w:widowControl/>
        <w:rPr>
          <w:rFonts w:cs="宋体"/>
          <w:sz w:val="24"/>
        </w:rPr>
      </w:pPr>
      <w:r>
        <w:rPr>
          <w:rFonts w:hint="eastAsia" w:cs="宋体"/>
          <w:sz w:val="24"/>
        </w:rPr>
        <w:t>36.风险投资与跨境并购</w:t>
      </w:r>
    </w:p>
    <w:p w14:paraId="779A233C">
      <w:pPr>
        <w:widowControl/>
        <w:rPr>
          <w:rFonts w:cs="宋体"/>
          <w:sz w:val="24"/>
        </w:rPr>
      </w:pPr>
    </w:p>
    <w:p w14:paraId="4C368C09">
      <w:pPr>
        <w:pStyle w:val="2"/>
        <w:ind w:left="-359" w:leftChars="-171" w:firstLine="181" w:firstLineChars="50"/>
        <w:rPr>
          <w:rFonts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第</w:t>
      </w:r>
      <w:r>
        <w:rPr>
          <w:rFonts w:hint="eastAsia" w:ascii="Times New Roman" w:hAnsi="Times New Roman" w:eastAsia="楷体_GB2312" w:cs="宋体"/>
          <w:b/>
          <w:color w:val="000000"/>
          <w:sz w:val="36"/>
          <w:szCs w:val="36"/>
          <w:lang w:val="en-US" w:eastAsia="zh-CN"/>
        </w:rPr>
        <w:t>九</w:t>
      </w:r>
      <w:r>
        <w:rPr>
          <w:rFonts w:hint="eastAsia" w:ascii="Times New Roman" w:hAnsi="Times New Roman" w:eastAsia="楷体_GB2312" w:cs="宋体"/>
          <w:b/>
          <w:color w:val="000000"/>
          <w:sz w:val="36"/>
          <w:szCs w:val="36"/>
        </w:rPr>
        <w:t>部分</w:t>
      </w:r>
    </w:p>
    <w:p w14:paraId="2B776862">
      <w:pPr>
        <w:pStyle w:val="2"/>
        <w:ind w:left="-359" w:leftChars="-171" w:firstLine="181" w:firstLineChars="50"/>
        <w:rPr>
          <w:rFonts w:hint="eastAsia"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【保险</w:t>
      </w:r>
      <w:r>
        <w:rPr>
          <w:rFonts w:hint="eastAsia" w:ascii="Times New Roman" w:hAnsi="Times New Roman" w:eastAsia="楷体_GB2312" w:cs="宋体"/>
          <w:b/>
          <w:color w:val="000000"/>
          <w:sz w:val="36"/>
          <w:szCs w:val="36"/>
          <w:lang w:eastAsia="zh-CN"/>
        </w:rPr>
        <w:t>学</w:t>
      </w:r>
      <w:r>
        <w:rPr>
          <w:rFonts w:hint="eastAsia" w:ascii="Times New Roman" w:hAnsi="Times New Roman" w:eastAsia="楷体_GB2312" w:cs="宋体"/>
          <w:b/>
          <w:color w:val="000000"/>
          <w:sz w:val="36"/>
          <w:szCs w:val="36"/>
          <w:lang w:val="en-US" w:eastAsia="zh-CN"/>
        </w:rPr>
        <w:t>专业</w:t>
      </w:r>
      <w:r>
        <w:rPr>
          <w:rFonts w:hint="eastAsia" w:ascii="Times New Roman" w:hAnsi="Times New Roman" w:eastAsia="楷体_GB2312" w:cs="宋体"/>
          <w:b/>
          <w:color w:val="000000"/>
          <w:sz w:val="36"/>
          <w:szCs w:val="36"/>
        </w:rPr>
        <w:t>】选题指南</w:t>
      </w:r>
    </w:p>
    <w:p w14:paraId="31E0EA88">
      <w:pPr>
        <w:pStyle w:val="2"/>
        <w:ind w:left="-359" w:leftChars="-171" w:firstLine="120" w:firstLineChars="50"/>
        <w:rPr>
          <w:rFonts w:hint="eastAsia" w:ascii="Times New Roman" w:hAnsi="Times New Roman" w:eastAsia="楷体_GB2312" w:cs="宋体"/>
          <w:b/>
          <w:color w:val="000000"/>
          <w:sz w:val="36"/>
          <w:szCs w:val="36"/>
        </w:rPr>
      </w:pPr>
      <w:r>
        <w:rPr>
          <w:rFonts w:hint="eastAsia" w:ascii="Segoe UI" w:hAnsi="Segoe UI" w:cs="Segoe UI"/>
          <w:b/>
          <w:bCs/>
          <w:color w:val="0F1115"/>
          <w:kern w:val="0"/>
          <w:sz w:val="24"/>
          <w:szCs w:val="24"/>
          <w:lang w:eastAsia="zh-CN"/>
        </w:rPr>
        <w:t>（</w:t>
      </w:r>
      <w:r>
        <w:rPr>
          <w:rFonts w:ascii="Segoe UI" w:hAnsi="Segoe UI" w:eastAsia="宋体" w:cs="Segoe UI"/>
          <w:b/>
          <w:bCs/>
          <w:color w:val="0F1115"/>
          <w:kern w:val="0"/>
          <w:sz w:val="24"/>
          <w:szCs w:val="24"/>
        </w:rPr>
        <w:t>侧重宏观、市场、产品与社会治理</w:t>
      </w:r>
      <w:r>
        <w:rPr>
          <w:rFonts w:hint="eastAsia" w:ascii="Segoe UI" w:hAnsi="Segoe UI" w:cs="Segoe UI"/>
          <w:b/>
          <w:bCs/>
          <w:color w:val="0F1115"/>
          <w:kern w:val="0"/>
          <w:sz w:val="24"/>
          <w:szCs w:val="24"/>
          <w:lang w:eastAsia="zh-CN"/>
        </w:rPr>
        <w:t>）</w:t>
      </w:r>
    </w:p>
    <w:p w14:paraId="3A267AC3">
      <w:pPr>
        <w:widowControl/>
        <w:rPr>
          <w:rFonts w:hint="eastAsia" w:cs="宋体"/>
          <w:sz w:val="24"/>
        </w:rPr>
      </w:pPr>
      <w:r>
        <w:rPr>
          <w:rFonts w:hint="eastAsia" w:cs="宋体"/>
          <w:sz w:val="24"/>
        </w:rPr>
        <w:t>1.保险在社会治理中的作用</w:t>
      </w:r>
    </w:p>
    <w:p w14:paraId="310D1500">
      <w:pPr>
        <w:widowControl/>
        <w:rPr>
          <w:rFonts w:hint="eastAsia" w:cs="宋体"/>
          <w:sz w:val="24"/>
        </w:rPr>
      </w:pPr>
      <w:r>
        <w:rPr>
          <w:rFonts w:hint="eastAsia" w:cs="宋体"/>
          <w:sz w:val="24"/>
        </w:rPr>
        <w:t>2.保险业与“十四五”时期经济社会发展</w:t>
      </w:r>
    </w:p>
    <w:p w14:paraId="3CA4DAA1">
      <w:pPr>
        <w:widowControl/>
        <w:rPr>
          <w:rFonts w:hint="eastAsia" w:cs="宋体"/>
          <w:sz w:val="24"/>
        </w:rPr>
      </w:pPr>
      <w:r>
        <w:rPr>
          <w:rFonts w:hint="eastAsia" w:cs="宋体"/>
          <w:sz w:val="24"/>
        </w:rPr>
        <w:t>3.国内国际双循环新发展格局下的保险业高质量发展</w:t>
      </w:r>
    </w:p>
    <w:p w14:paraId="0C7C594B">
      <w:pPr>
        <w:widowControl/>
        <w:rPr>
          <w:rFonts w:hint="eastAsia" w:cs="宋体"/>
          <w:sz w:val="24"/>
        </w:rPr>
      </w:pPr>
      <w:r>
        <w:rPr>
          <w:rFonts w:hint="eastAsia" w:cs="宋体"/>
          <w:sz w:val="24"/>
        </w:rPr>
        <w:t>4.中国保险业转型升级方向与道路</w:t>
      </w:r>
    </w:p>
    <w:p w14:paraId="5E45A17A">
      <w:pPr>
        <w:widowControl/>
        <w:rPr>
          <w:rFonts w:hint="eastAsia" w:cs="宋体"/>
          <w:sz w:val="24"/>
        </w:rPr>
      </w:pPr>
      <w:r>
        <w:rPr>
          <w:rFonts w:hint="eastAsia" w:cs="宋体"/>
          <w:sz w:val="24"/>
        </w:rPr>
        <w:t>5.保险业支持绿色经济发展</w:t>
      </w:r>
    </w:p>
    <w:p w14:paraId="2CBDA42A">
      <w:pPr>
        <w:widowControl/>
        <w:rPr>
          <w:rFonts w:hint="eastAsia" w:cs="宋体"/>
          <w:sz w:val="24"/>
        </w:rPr>
      </w:pPr>
      <w:r>
        <w:rPr>
          <w:rFonts w:hint="eastAsia" w:cs="宋体"/>
          <w:sz w:val="24"/>
        </w:rPr>
        <w:t>6.《保险法》的修改问题</w:t>
      </w:r>
    </w:p>
    <w:p w14:paraId="4C8AE0A4">
      <w:pPr>
        <w:widowControl/>
        <w:rPr>
          <w:rFonts w:hint="eastAsia" w:cs="宋体"/>
          <w:sz w:val="24"/>
        </w:rPr>
      </w:pPr>
      <w:r>
        <w:rPr>
          <w:rFonts w:hint="eastAsia" w:cs="宋体"/>
          <w:sz w:val="24"/>
        </w:rPr>
        <w:t>7.普惠保险</w:t>
      </w:r>
    </w:p>
    <w:p w14:paraId="6334571C">
      <w:pPr>
        <w:widowControl/>
        <w:rPr>
          <w:rFonts w:hint="eastAsia" w:cs="宋体"/>
          <w:sz w:val="24"/>
        </w:rPr>
      </w:pPr>
      <w:r>
        <w:rPr>
          <w:rFonts w:hint="eastAsia" w:cs="宋体"/>
          <w:sz w:val="24"/>
        </w:rPr>
        <w:t>8.保险科技的应用现状及发展趋势</w:t>
      </w:r>
    </w:p>
    <w:p w14:paraId="5643CDCD">
      <w:pPr>
        <w:widowControl/>
        <w:rPr>
          <w:rFonts w:hint="eastAsia" w:cs="宋体"/>
          <w:sz w:val="24"/>
        </w:rPr>
      </w:pPr>
      <w:r>
        <w:rPr>
          <w:rFonts w:hint="eastAsia" w:cs="宋体"/>
          <w:sz w:val="24"/>
        </w:rPr>
        <w:t>9.数字经济下保险业的创新发展</w:t>
      </w:r>
    </w:p>
    <w:p w14:paraId="55459151">
      <w:pPr>
        <w:widowControl/>
        <w:rPr>
          <w:rFonts w:hint="eastAsia" w:cs="宋体"/>
          <w:sz w:val="24"/>
        </w:rPr>
      </w:pPr>
      <w:r>
        <w:rPr>
          <w:rFonts w:hint="eastAsia" w:cs="宋体"/>
          <w:sz w:val="24"/>
        </w:rPr>
        <w:t>10.保险监管政策的理论支持</w:t>
      </w:r>
    </w:p>
    <w:p w14:paraId="5231E680">
      <w:pPr>
        <w:widowControl/>
        <w:rPr>
          <w:rFonts w:hint="eastAsia" w:cs="宋体"/>
          <w:sz w:val="24"/>
        </w:rPr>
      </w:pPr>
      <w:r>
        <w:rPr>
          <w:rFonts w:hint="eastAsia" w:cs="宋体"/>
          <w:sz w:val="24"/>
        </w:rPr>
        <w:t>11.“偿二代”二期工程</w:t>
      </w:r>
    </w:p>
    <w:p w14:paraId="0C8515DA">
      <w:pPr>
        <w:widowControl/>
        <w:rPr>
          <w:rFonts w:hint="eastAsia" w:cs="宋体"/>
          <w:sz w:val="24"/>
        </w:rPr>
      </w:pPr>
      <w:r>
        <w:rPr>
          <w:rFonts w:hint="eastAsia" w:cs="宋体"/>
          <w:sz w:val="24"/>
        </w:rPr>
        <w:t>12.保险公司的差异化监管</w:t>
      </w:r>
    </w:p>
    <w:p w14:paraId="4C8C91DB">
      <w:pPr>
        <w:widowControl/>
        <w:rPr>
          <w:rFonts w:hint="eastAsia" w:cs="宋体"/>
          <w:sz w:val="24"/>
        </w:rPr>
      </w:pPr>
      <w:r>
        <w:rPr>
          <w:rFonts w:hint="eastAsia" w:cs="宋体"/>
          <w:sz w:val="24"/>
        </w:rPr>
        <w:t>13.国际保险新会计准则IFRS 17在中国的落地实施与影响</w:t>
      </w:r>
    </w:p>
    <w:p w14:paraId="612F04A8">
      <w:pPr>
        <w:widowControl/>
        <w:rPr>
          <w:rFonts w:hint="eastAsia" w:cs="宋体"/>
          <w:sz w:val="24"/>
        </w:rPr>
      </w:pPr>
      <w:r>
        <w:rPr>
          <w:rFonts w:hint="eastAsia" w:cs="宋体"/>
          <w:sz w:val="24"/>
        </w:rPr>
        <w:t>14.保险机构的公司治理</w:t>
      </w:r>
    </w:p>
    <w:p w14:paraId="7FC81E46">
      <w:pPr>
        <w:widowControl/>
        <w:rPr>
          <w:rFonts w:hint="eastAsia" w:cs="宋体"/>
          <w:sz w:val="24"/>
        </w:rPr>
      </w:pPr>
      <w:r>
        <w:rPr>
          <w:rFonts w:hint="eastAsia" w:cs="宋体"/>
          <w:sz w:val="24"/>
        </w:rPr>
        <w:t>15.非保险子公司的监管</w:t>
      </w:r>
    </w:p>
    <w:p w14:paraId="0CD3B5FF">
      <w:pPr>
        <w:widowControl/>
        <w:rPr>
          <w:rFonts w:hint="eastAsia" w:cs="宋体"/>
          <w:sz w:val="24"/>
        </w:rPr>
      </w:pPr>
      <w:r>
        <w:rPr>
          <w:rFonts w:hint="eastAsia" w:cs="宋体"/>
          <w:sz w:val="24"/>
        </w:rPr>
        <w:t>16.保险资产负债匹配管理</w:t>
      </w:r>
    </w:p>
    <w:p w14:paraId="18B2307E">
      <w:pPr>
        <w:widowControl/>
        <w:rPr>
          <w:rFonts w:hint="eastAsia" w:cs="宋体"/>
          <w:sz w:val="24"/>
        </w:rPr>
      </w:pPr>
      <w:r>
        <w:rPr>
          <w:rFonts w:hint="eastAsia" w:cs="宋体"/>
          <w:sz w:val="24"/>
        </w:rPr>
        <w:t>17.保险资金、养老金的投资管理模式</w:t>
      </w:r>
    </w:p>
    <w:p w14:paraId="4E3CE0B7">
      <w:pPr>
        <w:widowControl/>
        <w:rPr>
          <w:rFonts w:hint="eastAsia" w:cs="宋体"/>
          <w:sz w:val="24"/>
        </w:rPr>
      </w:pPr>
      <w:r>
        <w:rPr>
          <w:rFonts w:hint="eastAsia" w:cs="宋体"/>
          <w:sz w:val="24"/>
        </w:rPr>
        <w:t>18.保险资金参与养老金第三支柱建设</w:t>
      </w:r>
    </w:p>
    <w:p w14:paraId="3FFE297E">
      <w:pPr>
        <w:widowControl/>
        <w:rPr>
          <w:rFonts w:hint="eastAsia" w:cs="宋体"/>
          <w:sz w:val="24"/>
        </w:rPr>
      </w:pPr>
      <w:r>
        <w:rPr>
          <w:rFonts w:hint="eastAsia" w:cs="宋体"/>
          <w:sz w:val="24"/>
        </w:rPr>
        <w:t>19.保险资金另类投资特点与前景</w:t>
      </w:r>
    </w:p>
    <w:p w14:paraId="62D57069">
      <w:pPr>
        <w:widowControl/>
        <w:rPr>
          <w:rFonts w:hint="eastAsia" w:cs="宋体"/>
          <w:sz w:val="24"/>
        </w:rPr>
      </w:pPr>
      <w:r>
        <w:rPr>
          <w:rFonts w:hint="eastAsia" w:cs="宋体"/>
          <w:sz w:val="24"/>
        </w:rPr>
        <w:t>20.保险资金运用风险相关研究</w:t>
      </w:r>
    </w:p>
    <w:p w14:paraId="5866D95E">
      <w:pPr>
        <w:widowControl/>
        <w:rPr>
          <w:rFonts w:hint="eastAsia" w:cs="宋体"/>
          <w:sz w:val="24"/>
        </w:rPr>
      </w:pPr>
      <w:r>
        <w:rPr>
          <w:rFonts w:hint="eastAsia" w:cs="宋体"/>
          <w:sz w:val="24"/>
        </w:rPr>
        <w:t>21.车险综合改革的评估与深化</w:t>
      </w:r>
    </w:p>
    <w:p w14:paraId="06D7AE6E">
      <w:pPr>
        <w:widowControl/>
        <w:rPr>
          <w:rFonts w:hint="eastAsia" w:cs="宋体"/>
          <w:sz w:val="24"/>
        </w:rPr>
      </w:pPr>
      <w:r>
        <w:rPr>
          <w:rFonts w:hint="eastAsia" w:cs="宋体"/>
          <w:sz w:val="24"/>
        </w:rPr>
        <w:t>22.基于使用的机动车保险</w:t>
      </w:r>
    </w:p>
    <w:p w14:paraId="6060523F">
      <w:pPr>
        <w:widowControl/>
        <w:rPr>
          <w:rFonts w:hint="eastAsia" w:cs="宋体"/>
          <w:sz w:val="24"/>
        </w:rPr>
      </w:pPr>
      <w:r>
        <w:rPr>
          <w:rFonts w:hint="eastAsia" w:cs="宋体"/>
          <w:sz w:val="24"/>
        </w:rPr>
        <w:t>23.新能源汽车保险</w:t>
      </w:r>
    </w:p>
    <w:p w14:paraId="7B7E5B98">
      <w:pPr>
        <w:widowControl/>
        <w:rPr>
          <w:rFonts w:hint="eastAsia" w:cs="宋体"/>
          <w:sz w:val="24"/>
        </w:rPr>
      </w:pPr>
      <w:r>
        <w:rPr>
          <w:rFonts w:hint="eastAsia" w:cs="宋体"/>
          <w:sz w:val="24"/>
        </w:rPr>
        <w:t>24.自动驾驶技术发展对车险的影响</w:t>
      </w:r>
    </w:p>
    <w:p w14:paraId="3D0A3F68">
      <w:pPr>
        <w:widowControl/>
        <w:rPr>
          <w:rFonts w:hint="eastAsia" w:cs="宋体"/>
          <w:sz w:val="24"/>
        </w:rPr>
      </w:pPr>
      <w:r>
        <w:rPr>
          <w:rFonts w:hint="eastAsia" w:cs="宋体"/>
          <w:sz w:val="24"/>
        </w:rPr>
        <w:t>25.农业保险高质量发展与乡村振兴</w:t>
      </w:r>
    </w:p>
    <w:p w14:paraId="1F57D0F0">
      <w:pPr>
        <w:widowControl/>
        <w:rPr>
          <w:rFonts w:hint="eastAsia" w:cs="宋体"/>
          <w:sz w:val="24"/>
        </w:rPr>
      </w:pPr>
      <w:r>
        <w:rPr>
          <w:rFonts w:hint="eastAsia" w:cs="宋体"/>
          <w:sz w:val="24"/>
        </w:rPr>
        <w:t>26.完善农业保险立法相关研究</w:t>
      </w:r>
    </w:p>
    <w:p w14:paraId="64E03EE7">
      <w:pPr>
        <w:widowControl/>
        <w:rPr>
          <w:rFonts w:hint="eastAsia" w:cs="宋体"/>
          <w:sz w:val="24"/>
        </w:rPr>
      </w:pPr>
      <w:r>
        <w:rPr>
          <w:rFonts w:hint="eastAsia" w:cs="宋体"/>
          <w:sz w:val="24"/>
        </w:rPr>
        <w:t>27.农业保险大灾风险分散机制</w:t>
      </w:r>
    </w:p>
    <w:p w14:paraId="4FE08258">
      <w:pPr>
        <w:widowControl/>
        <w:rPr>
          <w:rFonts w:hint="eastAsia" w:cs="宋体"/>
          <w:sz w:val="24"/>
        </w:rPr>
      </w:pPr>
      <w:r>
        <w:rPr>
          <w:rFonts w:hint="eastAsia" w:cs="宋体"/>
          <w:sz w:val="24"/>
        </w:rPr>
        <w:t>28.新型农业经营主体的风险保障机制</w:t>
      </w:r>
    </w:p>
    <w:p w14:paraId="6B5760CD">
      <w:pPr>
        <w:widowControl/>
        <w:rPr>
          <w:rFonts w:hint="eastAsia" w:cs="宋体"/>
          <w:sz w:val="24"/>
        </w:rPr>
      </w:pPr>
      <w:r>
        <w:rPr>
          <w:rFonts w:hint="eastAsia" w:cs="宋体"/>
          <w:sz w:val="24"/>
        </w:rPr>
        <w:t>29.粮食作物完全成本保险和种植收入保险相关问题研究</w:t>
      </w:r>
    </w:p>
    <w:p w14:paraId="24D06DF2">
      <w:pPr>
        <w:widowControl/>
        <w:rPr>
          <w:rFonts w:hint="eastAsia" w:cs="宋体"/>
          <w:sz w:val="24"/>
        </w:rPr>
      </w:pPr>
      <w:r>
        <w:rPr>
          <w:rFonts w:hint="eastAsia" w:cs="宋体"/>
          <w:sz w:val="24"/>
        </w:rPr>
        <w:t>30.特色农产品保险相关研究</w:t>
      </w:r>
    </w:p>
    <w:p w14:paraId="444AE1A2">
      <w:pPr>
        <w:widowControl/>
        <w:rPr>
          <w:rFonts w:hint="eastAsia" w:cs="宋体"/>
          <w:sz w:val="24"/>
        </w:rPr>
      </w:pPr>
    </w:p>
    <w:p w14:paraId="0B33396B">
      <w:pPr>
        <w:pStyle w:val="2"/>
        <w:ind w:left="-359" w:leftChars="-171" w:firstLine="181" w:firstLineChars="50"/>
        <w:rPr>
          <w:rFonts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第</w:t>
      </w:r>
      <w:r>
        <w:rPr>
          <w:rFonts w:hint="eastAsia" w:ascii="Times New Roman" w:hAnsi="Times New Roman" w:eastAsia="楷体_GB2312" w:cs="宋体"/>
          <w:b/>
          <w:color w:val="000000"/>
          <w:sz w:val="36"/>
          <w:szCs w:val="36"/>
          <w:lang w:val="en-US" w:eastAsia="zh-CN"/>
        </w:rPr>
        <w:t>十</w:t>
      </w:r>
      <w:r>
        <w:rPr>
          <w:rFonts w:hint="eastAsia" w:ascii="Times New Roman" w:hAnsi="Times New Roman" w:eastAsia="楷体_GB2312" w:cs="宋体"/>
          <w:b/>
          <w:color w:val="000000"/>
          <w:sz w:val="36"/>
          <w:szCs w:val="36"/>
        </w:rPr>
        <w:t>部分</w:t>
      </w:r>
    </w:p>
    <w:p w14:paraId="267C9B39">
      <w:pPr>
        <w:pStyle w:val="2"/>
        <w:ind w:left="-359" w:leftChars="-171" w:firstLine="181" w:firstLineChars="50"/>
        <w:rPr>
          <w:rFonts w:hint="eastAsia"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【保险</w:t>
      </w:r>
      <w:r>
        <w:rPr>
          <w:rFonts w:hint="eastAsia" w:ascii="Times New Roman" w:hAnsi="Times New Roman" w:eastAsia="楷体_GB2312" w:cs="宋体"/>
          <w:b/>
          <w:color w:val="000000"/>
          <w:sz w:val="36"/>
          <w:szCs w:val="36"/>
          <w:lang w:val="en-US" w:eastAsia="zh-CN"/>
        </w:rPr>
        <w:t>会计专业</w:t>
      </w:r>
      <w:r>
        <w:rPr>
          <w:rFonts w:hint="eastAsia" w:ascii="Times New Roman" w:hAnsi="Times New Roman" w:eastAsia="楷体_GB2312" w:cs="宋体"/>
          <w:b/>
          <w:color w:val="000000"/>
          <w:sz w:val="36"/>
          <w:szCs w:val="36"/>
        </w:rPr>
        <w:t>】选题指南</w:t>
      </w:r>
    </w:p>
    <w:p w14:paraId="236585BB">
      <w:pPr>
        <w:pStyle w:val="2"/>
        <w:ind w:left="-359" w:leftChars="-171" w:firstLine="120" w:firstLineChars="50"/>
        <w:rPr>
          <w:rFonts w:hint="eastAsia" w:ascii="Segoe UI" w:hAnsi="Segoe UI" w:cs="Segoe UI"/>
          <w:b/>
          <w:bCs/>
          <w:color w:val="0F1115"/>
          <w:kern w:val="0"/>
          <w:sz w:val="24"/>
          <w:szCs w:val="24"/>
          <w:lang w:eastAsia="zh-CN"/>
        </w:rPr>
      </w:pPr>
      <w:r>
        <w:rPr>
          <w:rFonts w:hint="eastAsia" w:ascii="Segoe UI" w:hAnsi="Segoe UI" w:cs="Segoe UI"/>
          <w:b/>
          <w:bCs/>
          <w:color w:val="0F1115"/>
          <w:kern w:val="0"/>
          <w:sz w:val="24"/>
          <w:szCs w:val="24"/>
          <w:lang w:eastAsia="zh-CN"/>
        </w:rPr>
        <w:t>（</w:t>
      </w:r>
      <w:r>
        <w:rPr>
          <w:rFonts w:hint="eastAsia" w:ascii="Segoe UI" w:hAnsi="Segoe UI" w:eastAsia="宋体" w:cs="Segoe UI"/>
          <w:b/>
          <w:bCs/>
          <w:color w:val="0F1115"/>
          <w:kern w:val="0"/>
          <w:sz w:val="24"/>
          <w:szCs w:val="24"/>
        </w:rPr>
        <w:t>侧重财务、准则、监管与信息披露</w:t>
      </w:r>
      <w:r>
        <w:rPr>
          <w:rFonts w:hint="eastAsia" w:ascii="Segoe UI" w:hAnsi="Segoe UI" w:cs="Segoe UI"/>
          <w:b/>
          <w:bCs/>
          <w:color w:val="0F1115"/>
          <w:kern w:val="0"/>
          <w:sz w:val="24"/>
          <w:szCs w:val="24"/>
          <w:lang w:eastAsia="zh-CN"/>
        </w:rPr>
        <w:t>）</w:t>
      </w:r>
    </w:p>
    <w:p w14:paraId="5328FA28">
      <w:pPr>
        <w:widowControl/>
        <w:rPr>
          <w:rFonts w:hint="eastAsia" w:cs="宋体"/>
          <w:sz w:val="24"/>
          <w:lang w:eastAsia="zh-CN"/>
        </w:rPr>
      </w:pPr>
      <w:r>
        <w:rPr>
          <w:rFonts w:hint="eastAsia" w:cs="宋体"/>
          <w:sz w:val="24"/>
          <w:lang w:eastAsia="zh-CN"/>
        </w:rPr>
        <w:t>1.国际保险新会计准则IFRS 17在中国的落地实施与影响</w:t>
      </w:r>
    </w:p>
    <w:p w14:paraId="3026287E">
      <w:pPr>
        <w:widowControl/>
        <w:rPr>
          <w:rFonts w:hint="eastAsia" w:cs="宋体"/>
          <w:sz w:val="24"/>
          <w:lang w:eastAsia="zh-CN"/>
        </w:rPr>
      </w:pPr>
      <w:r>
        <w:rPr>
          <w:rFonts w:hint="eastAsia" w:cs="宋体"/>
          <w:sz w:val="24"/>
          <w:lang w:eastAsia="zh-CN"/>
        </w:rPr>
        <w:t>2.极端天气事件的巨灾模型构建与定价研究</w:t>
      </w:r>
    </w:p>
    <w:p w14:paraId="5E102D87">
      <w:pPr>
        <w:widowControl/>
        <w:rPr>
          <w:rFonts w:hint="eastAsia" w:cs="宋体"/>
          <w:sz w:val="24"/>
          <w:lang w:eastAsia="zh-CN"/>
        </w:rPr>
      </w:pPr>
      <w:r>
        <w:rPr>
          <w:rFonts w:hint="eastAsia" w:cs="宋体"/>
          <w:sz w:val="24"/>
          <w:lang w:eastAsia="zh-CN"/>
        </w:rPr>
        <w:t>3.“偿二代”二期工程</w:t>
      </w:r>
    </w:p>
    <w:p w14:paraId="437D7EF1">
      <w:pPr>
        <w:widowControl/>
        <w:rPr>
          <w:rFonts w:hint="eastAsia" w:cs="宋体"/>
          <w:sz w:val="24"/>
          <w:lang w:eastAsia="zh-CN"/>
        </w:rPr>
      </w:pPr>
      <w:r>
        <w:rPr>
          <w:rFonts w:hint="eastAsia" w:cs="宋体"/>
          <w:sz w:val="24"/>
          <w:lang w:eastAsia="zh-CN"/>
        </w:rPr>
        <w:t>4.保险资产负债匹配管理</w:t>
      </w:r>
    </w:p>
    <w:p w14:paraId="35FBF1A7">
      <w:pPr>
        <w:widowControl/>
        <w:rPr>
          <w:rFonts w:hint="eastAsia" w:cs="宋体"/>
          <w:sz w:val="24"/>
          <w:lang w:eastAsia="zh-CN"/>
        </w:rPr>
      </w:pPr>
      <w:r>
        <w:rPr>
          <w:rFonts w:hint="eastAsia" w:cs="宋体"/>
          <w:sz w:val="24"/>
          <w:lang w:eastAsia="zh-CN"/>
        </w:rPr>
        <w:t>5.保险资金、养老金的投资管理模式</w:t>
      </w:r>
    </w:p>
    <w:p w14:paraId="5CADE355">
      <w:pPr>
        <w:widowControl/>
        <w:rPr>
          <w:rFonts w:hint="eastAsia" w:cs="宋体"/>
          <w:sz w:val="24"/>
          <w:lang w:eastAsia="zh-CN"/>
        </w:rPr>
      </w:pPr>
      <w:r>
        <w:rPr>
          <w:rFonts w:hint="eastAsia" w:cs="宋体"/>
          <w:sz w:val="24"/>
          <w:lang w:eastAsia="zh-CN"/>
        </w:rPr>
        <w:t>6.保险资金参与养老金第三支柱建设</w:t>
      </w:r>
    </w:p>
    <w:p w14:paraId="04066539">
      <w:pPr>
        <w:widowControl/>
        <w:rPr>
          <w:rFonts w:hint="eastAsia" w:cs="宋体"/>
          <w:sz w:val="24"/>
          <w:lang w:eastAsia="zh-CN"/>
        </w:rPr>
      </w:pPr>
      <w:r>
        <w:rPr>
          <w:rFonts w:hint="eastAsia" w:cs="宋体"/>
          <w:sz w:val="24"/>
          <w:lang w:eastAsia="zh-CN"/>
        </w:rPr>
        <w:t>7.保险资金另类投资特点与前景</w:t>
      </w:r>
    </w:p>
    <w:p w14:paraId="327A8342">
      <w:pPr>
        <w:widowControl/>
        <w:rPr>
          <w:rFonts w:hint="eastAsia" w:cs="宋体"/>
          <w:sz w:val="24"/>
          <w:lang w:eastAsia="zh-CN"/>
        </w:rPr>
      </w:pPr>
      <w:r>
        <w:rPr>
          <w:rFonts w:hint="eastAsia" w:cs="宋体"/>
          <w:sz w:val="24"/>
          <w:lang w:eastAsia="zh-CN"/>
        </w:rPr>
        <w:t>8.保险资金运用风险相关研究</w:t>
      </w:r>
    </w:p>
    <w:p w14:paraId="206FCB9C">
      <w:pPr>
        <w:widowControl/>
        <w:rPr>
          <w:rFonts w:hint="eastAsia" w:cs="宋体"/>
          <w:sz w:val="24"/>
          <w:lang w:eastAsia="zh-CN"/>
        </w:rPr>
      </w:pPr>
      <w:r>
        <w:rPr>
          <w:rFonts w:hint="eastAsia" w:cs="宋体"/>
          <w:sz w:val="24"/>
          <w:lang w:eastAsia="zh-CN"/>
        </w:rPr>
        <w:t>9.保险机构的公司治理</w:t>
      </w:r>
    </w:p>
    <w:p w14:paraId="097DF3AD">
      <w:pPr>
        <w:widowControl/>
        <w:rPr>
          <w:rFonts w:hint="eastAsia" w:cs="宋体"/>
          <w:sz w:val="24"/>
          <w:lang w:eastAsia="zh-CN"/>
        </w:rPr>
      </w:pPr>
      <w:r>
        <w:rPr>
          <w:rFonts w:hint="eastAsia" w:cs="宋体"/>
          <w:sz w:val="24"/>
          <w:lang w:eastAsia="zh-CN"/>
        </w:rPr>
        <w:t>10.非保险子公司的监管</w:t>
      </w:r>
    </w:p>
    <w:p w14:paraId="7DECD652">
      <w:pPr>
        <w:widowControl/>
        <w:rPr>
          <w:rFonts w:hint="eastAsia" w:cs="宋体"/>
          <w:sz w:val="24"/>
          <w:lang w:eastAsia="zh-CN"/>
        </w:rPr>
      </w:pPr>
      <w:r>
        <w:rPr>
          <w:rFonts w:hint="eastAsia" w:cs="宋体"/>
          <w:sz w:val="24"/>
          <w:lang w:eastAsia="zh-CN"/>
        </w:rPr>
        <w:t>11.保险监管政策的理论支持</w:t>
      </w:r>
    </w:p>
    <w:p w14:paraId="159313D2">
      <w:pPr>
        <w:widowControl/>
        <w:rPr>
          <w:rFonts w:hint="eastAsia" w:cs="宋体"/>
          <w:sz w:val="24"/>
          <w:lang w:eastAsia="zh-CN"/>
        </w:rPr>
      </w:pPr>
      <w:r>
        <w:rPr>
          <w:rFonts w:hint="eastAsia" w:cs="宋体"/>
          <w:sz w:val="24"/>
          <w:lang w:eastAsia="zh-CN"/>
        </w:rPr>
        <w:t>12.保险在社会治理中的作用（可从财务投入与社会效益角度）</w:t>
      </w:r>
    </w:p>
    <w:p w14:paraId="31EB298E">
      <w:pPr>
        <w:widowControl/>
        <w:rPr>
          <w:rFonts w:hint="eastAsia" w:cs="宋体"/>
          <w:sz w:val="24"/>
          <w:lang w:eastAsia="zh-CN"/>
        </w:rPr>
      </w:pPr>
      <w:r>
        <w:rPr>
          <w:rFonts w:hint="eastAsia" w:cs="宋体"/>
          <w:sz w:val="24"/>
          <w:lang w:eastAsia="zh-CN"/>
        </w:rPr>
        <w:t>13.保险业支持绿色经济发展（绿色保险与绿色会计）</w:t>
      </w:r>
    </w:p>
    <w:p w14:paraId="71723E35">
      <w:pPr>
        <w:widowControl/>
        <w:rPr>
          <w:rFonts w:hint="eastAsia" w:cs="宋体"/>
          <w:sz w:val="24"/>
          <w:lang w:eastAsia="zh-CN"/>
        </w:rPr>
      </w:pPr>
      <w:r>
        <w:rPr>
          <w:rFonts w:hint="eastAsia" w:cs="宋体"/>
          <w:sz w:val="24"/>
          <w:lang w:eastAsia="zh-CN"/>
        </w:rPr>
        <w:t>14.普惠保险（财务可持续性分析）</w:t>
      </w:r>
    </w:p>
    <w:p w14:paraId="092F8D49">
      <w:pPr>
        <w:widowControl/>
        <w:rPr>
          <w:rFonts w:hint="eastAsia" w:cs="宋体"/>
          <w:sz w:val="24"/>
          <w:lang w:eastAsia="zh-CN"/>
        </w:rPr>
      </w:pPr>
      <w:r>
        <w:rPr>
          <w:rFonts w:hint="eastAsia" w:cs="宋体"/>
          <w:sz w:val="24"/>
          <w:lang w:eastAsia="zh-CN"/>
        </w:rPr>
        <w:t>15.保险科技的应用现状及发展趋势（对会计信息系统的影响）</w:t>
      </w:r>
    </w:p>
    <w:p w14:paraId="55AA7653">
      <w:pPr>
        <w:widowControl/>
        <w:rPr>
          <w:rFonts w:hint="eastAsia" w:cs="宋体"/>
          <w:sz w:val="24"/>
          <w:lang w:eastAsia="zh-CN"/>
        </w:rPr>
      </w:pPr>
      <w:r>
        <w:rPr>
          <w:rFonts w:hint="eastAsia" w:cs="宋体"/>
          <w:sz w:val="24"/>
          <w:lang w:eastAsia="zh-CN"/>
        </w:rPr>
        <w:t>16.数字经济下保险业的创新发展（会计处理挑战）</w:t>
      </w:r>
    </w:p>
    <w:p w14:paraId="0BB9A993">
      <w:pPr>
        <w:widowControl/>
        <w:rPr>
          <w:rFonts w:hint="eastAsia" w:cs="宋体"/>
          <w:sz w:val="24"/>
          <w:lang w:eastAsia="zh-CN"/>
        </w:rPr>
      </w:pPr>
      <w:r>
        <w:rPr>
          <w:rFonts w:hint="eastAsia" w:cs="宋体"/>
          <w:sz w:val="24"/>
          <w:lang w:eastAsia="zh-CN"/>
        </w:rPr>
        <w:t>17.农业保险大灾风险分散机制（会计准备金问题）</w:t>
      </w:r>
    </w:p>
    <w:p w14:paraId="327083C9">
      <w:pPr>
        <w:widowControl/>
        <w:rPr>
          <w:rFonts w:hint="eastAsia" w:cs="宋体"/>
          <w:sz w:val="24"/>
          <w:lang w:eastAsia="zh-CN"/>
        </w:rPr>
      </w:pPr>
      <w:r>
        <w:rPr>
          <w:rFonts w:hint="eastAsia" w:cs="宋体"/>
          <w:sz w:val="24"/>
          <w:lang w:eastAsia="zh-CN"/>
        </w:rPr>
        <w:t>18.多层次医疗保障制度建构与商业健康保险可持续发展</w:t>
      </w:r>
    </w:p>
    <w:p w14:paraId="270CECB5">
      <w:pPr>
        <w:widowControl/>
        <w:rPr>
          <w:rFonts w:hint="eastAsia" w:cs="宋体"/>
          <w:sz w:val="24"/>
          <w:lang w:eastAsia="zh-CN"/>
        </w:rPr>
      </w:pPr>
      <w:r>
        <w:rPr>
          <w:rFonts w:hint="eastAsia" w:cs="宋体"/>
          <w:sz w:val="24"/>
          <w:lang w:eastAsia="zh-CN"/>
        </w:rPr>
        <w:t>19.商业健康保险的市场走向及政策支持</w:t>
      </w:r>
    </w:p>
    <w:p w14:paraId="3AD42238">
      <w:pPr>
        <w:widowControl/>
        <w:rPr>
          <w:rFonts w:hint="eastAsia" w:cs="宋体"/>
          <w:sz w:val="24"/>
          <w:lang w:eastAsia="zh-CN"/>
        </w:rPr>
      </w:pPr>
      <w:r>
        <w:rPr>
          <w:rFonts w:hint="eastAsia" w:cs="宋体"/>
          <w:sz w:val="24"/>
          <w:lang w:eastAsia="zh-CN"/>
        </w:rPr>
        <w:t>20.长护险的环境、定价与保险经办研究</w:t>
      </w:r>
    </w:p>
    <w:p w14:paraId="1FE40189">
      <w:pPr>
        <w:widowControl/>
        <w:rPr>
          <w:rFonts w:hint="eastAsia" w:cs="宋体"/>
          <w:sz w:val="24"/>
          <w:lang w:eastAsia="zh-CN"/>
        </w:rPr>
      </w:pPr>
      <w:r>
        <w:rPr>
          <w:rFonts w:hint="eastAsia" w:cs="宋体"/>
          <w:sz w:val="24"/>
          <w:lang w:eastAsia="zh-CN"/>
        </w:rPr>
        <w:t>21.医疗保险信息不对称问题（会计信息披露角度）</w:t>
      </w:r>
    </w:p>
    <w:p w14:paraId="06603791">
      <w:pPr>
        <w:widowControl/>
        <w:rPr>
          <w:rFonts w:hint="eastAsia" w:cs="宋体"/>
          <w:sz w:val="24"/>
          <w:lang w:eastAsia="zh-CN"/>
        </w:rPr>
      </w:pPr>
      <w:r>
        <w:rPr>
          <w:rFonts w:hint="eastAsia" w:cs="宋体"/>
          <w:sz w:val="24"/>
          <w:lang w:eastAsia="zh-CN"/>
        </w:rPr>
        <w:t>22.老龄化社会、临终关怀与和缓医疗保险</w:t>
      </w:r>
    </w:p>
    <w:p w14:paraId="0C601F9D">
      <w:pPr>
        <w:widowControl/>
        <w:rPr>
          <w:rFonts w:hint="eastAsia" w:cs="宋体"/>
          <w:sz w:val="24"/>
          <w:lang w:eastAsia="zh-CN"/>
        </w:rPr>
      </w:pPr>
      <w:r>
        <w:rPr>
          <w:rFonts w:hint="eastAsia" w:cs="宋体"/>
          <w:sz w:val="24"/>
          <w:lang w:eastAsia="zh-CN"/>
        </w:rPr>
        <w:t>23.养老金融体系研究</w:t>
      </w:r>
    </w:p>
    <w:p w14:paraId="185F5068">
      <w:pPr>
        <w:widowControl/>
        <w:rPr>
          <w:rFonts w:hint="eastAsia" w:cs="宋体"/>
          <w:sz w:val="24"/>
          <w:lang w:eastAsia="zh-CN"/>
        </w:rPr>
      </w:pPr>
      <w:r>
        <w:rPr>
          <w:rFonts w:hint="eastAsia" w:cs="宋体"/>
          <w:sz w:val="24"/>
          <w:lang w:eastAsia="zh-CN"/>
        </w:rPr>
        <w:t>24.多支柱养老金体系与商业养老保险发展</w:t>
      </w:r>
    </w:p>
    <w:p w14:paraId="4BA37C47">
      <w:pPr>
        <w:widowControl/>
        <w:rPr>
          <w:rFonts w:hint="eastAsia" w:cs="宋体"/>
          <w:sz w:val="24"/>
          <w:lang w:eastAsia="zh-CN"/>
        </w:rPr>
      </w:pPr>
      <w:r>
        <w:rPr>
          <w:rFonts w:hint="eastAsia" w:cs="宋体"/>
          <w:sz w:val="24"/>
          <w:lang w:eastAsia="zh-CN"/>
        </w:rPr>
        <w:t>25.适老保险产品与服务创新、国际养老保险产品比较</w:t>
      </w:r>
    </w:p>
    <w:p w14:paraId="29D62DCE">
      <w:pPr>
        <w:widowControl/>
        <w:rPr>
          <w:rFonts w:hint="eastAsia" w:cs="宋体"/>
          <w:sz w:val="24"/>
          <w:lang w:eastAsia="zh-CN"/>
        </w:rPr>
      </w:pPr>
      <w:r>
        <w:rPr>
          <w:rFonts w:hint="eastAsia" w:cs="宋体"/>
          <w:sz w:val="24"/>
          <w:lang w:eastAsia="zh-CN"/>
        </w:rPr>
        <w:t>26.保险参与康养产业的实践与政策</w:t>
      </w:r>
    </w:p>
    <w:p w14:paraId="6D2DD071">
      <w:pPr>
        <w:widowControl/>
        <w:rPr>
          <w:rFonts w:hint="eastAsia" w:cs="宋体"/>
          <w:sz w:val="24"/>
          <w:lang w:eastAsia="zh-CN"/>
        </w:rPr>
      </w:pPr>
      <w:r>
        <w:rPr>
          <w:rFonts w:hint="eastAsia" w:cs="宋体"/>
          <w:sz w:val="24"/>
          <w:lang w:eastAsia="zh-CN"/>
        </w:rPr>
        <w:t>27.老龄化社会背景下的保险进社区</w:t>
      </w:r>
    </w:p>
    <w:p w14:paraId="0F09D9FB">
      <w:pPr>
        <w:widowControl/>
        <w:rPr>
          <w:rFonts w:hint="eastAsia" w:cs="宋体"/>
          <w:sz w:val="24"/>
          <w:lang w:eastAsia="zh-CN"/>
        </w:rPr>
      </w:pPr>
      <w:r>
        <w:rPr>
          <w:rFonts w:hint="eastAsia" w:cs="宋体"/>
          <w:sz w:val="24"/>
          <w:lang w:eastAsia="zh-CN"/>
        </w:rPr>
        <w:t>28.保险公司个人养老保险产品投资模式</w:t>
      </w:r>
    </w:p>
    <w:p w14:paraId="134BFE9F">
      <w:pPr>
        <w:widowControl/>
        <w:rPr>
          <w:rFonts w:hint="eastAsia" w:cs="宋体"/>
          <w:sz w:val="24"/>
          <w:lang w:eastAsia="zh-CN"/>
        </w:rPr>
      </w:pPr>
      <w:r>
        <w:rPr>
          <w:rFonts w:hint="eastAsia" w:cs="宋体"/>
          <w:sz w:val="24"/>
          <w:lang w:eastAsia="zh-CN"/>
        </w:rPr>
        <w:t>29.健康预期寿命测度与应用（与长期负债计量相关）</w:t>
      </w:r>
    </w:p>
    <w:p w14:paraId="65EAFDFA">
      <w:pPr>
        <w:widowControl/>
        <w:rPr>
          <w:rFonts w:hint="eastAsia" w:cs="宋体"/>
          <w:sz w:val="24"/>
          <w:lang w:eastAsia="zh-CN"/>
        </w:rPr>
      </w:pPr>
      <w:r>
        <w:rPr>
          <w:rFonts w:hint="eastAsia" w:cs="宋体"/>
          <w:sz w:val="24"/>
          <w:lang w:eastAsia="zh-CN"/>
        </w:rPr>
        <w:t>30.全球政治风险与出口信用保险（会计风险准备金）</w:t>
      </w:r>
    </w:p>
    <w:p w14:paraId="4647245E">
      <w:pPr>
        <w:pStyle w:val="2"/>
        <w:ind w:left="-359" w:leftChars="-171" w:firstLine="181" w:firstLineChars="50"/>
        <w:rPr>
          <w:rFonts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第</w:t>
      </w:r>
      <w:r>
        <w:rPr>
          <w:rFonts w:hint="eastAsia" w:ascii="Times New Roman" w:hAnsi="Times New Roman" w:eastAsia="楷体_GB2312" w:cs="宋体"/>
          <w:b/>
          <w:color w:val="000000"/>
          <w:sz w:val="36"/>
          <w:szCs w:val="36"/>
          <w:lang w:val="en-US" w:eastAsia="zh-CN"/>
        </w:rPr>
        <w:t>十一</w:t>
      </w:r>
      <w:r>
        <w:rPr>
          <w:rFonts w:hint="eastAsia" w:ascii="Times New Roman" w:hAnsi="Times New Roman" w:eastAsia="楷体_GB2312" w:cs="宋体"/>
          <w:b/>
          <w:color w:val="000000"/>
          <w:sz w:val="36"/>
          <w:szCs w:val="36"/>
        </w:rPr>
        <w:t>部分</w:t>
      </w:r>
    </w:p>
    <w:p w14:paraId="75A37A3F">
      <w:pPr>
        <w:pStyle w:val="2"/>
        <w:ind w:left="-359" w:leftChars="-171" w:firstLine="181" w:firstLineChars="50"/>
        <w:rPr>
          <w:rFonts w:hint="eastAsia" w:ascii="Times New Roman" w:hAnsi="Times New Roman" w:eastAsia="楷体_GB2312" w:cs="宋体"/>
          <w:b/>
          <w:color w:val="000000"/>
          <w:sz w:val="36"/>
          <w:szCs w:val="36"/>
        </w:rPr>
      </w:pPr>
      <w:r>
        <w:rPr>
          <w:rFonts w:hint="eastAsia" w:ascii="Times New Roman" w:hAnsi="Times New Roman" w:eastAsia="楷体_GB2312" w:cs="宋体"/>
          <w:b/>
          <w:color w:val="000000"/>
          <w:sz w:val="36"/>
          <w:szCs w:val="36"/>
        </w:rPr>
        <w:t>【保险</w:t>
      </w:r>
      <w:r>
        <w:rPr>
          <w:rFonts w:hint="eastAsia" w:ascii="Times New Roman" w:hAnsi="Times New Roman" w:eastAsia="楷体_GB2312" w:cs="宋体"/>
          <w:b/>
          <w:color w:val="000000"/>
          <w:sz w:val="36"/>
          <w:szCs w:val="36"/>
          <w:lang w:val="en-US" w:eastAsia="zh-CN"/>
        </w:rPr>
        <w:t>精算专业</w:t>
      </w:r>
      <w:r>
        <w:rPr>
          <w:rFonts w:hint="eastAsia" w:ascii="Times New Roman" w:hAnsi="Times New Roman" w:eastAsia="楷体_GB2312" w:cs="宋体"/>
          <w:b/>
          <w:color w:val="000000"/>
          <w:sz w:val="36"/>
          <w:szCs w:val="36"/>
        </w:rPr>
        <w:t>】选题指南</w:t>
      </w:r>
    </w:p>
    <w:p w14:paraId="57C0D4F2">
      <w:pPr>
        <w:pStyle w:val="2"/>
        <w:ind w:left="-359" w:leftChars="-171" w:firstLine="120" w:firstLineChars="50"/>
        <w:rPr>
          <w:rFonts w:hint="eastAsia" w:ascii="Times New Roman" w:hAnsi="Times New Roman" w:eastAsia="楷体_GB2312" w:cs="宋体"/>
          <w:b/>
          <w:color w:val="000000"/>
          <w:sz w:val="36"/>
          <w:szCs w:val="36"/>
        </w:rPr>
      </w:pPr>
      <w:r>
        <w:rPr>
          <w:rFonts w:hint="eastAsia" w:ascii="Segoe UI" w:hAnsi="Segoe UI" w:cs="Segoe UI"/>
          <w:b/>
          <w:bCs/>
          <w:color w:val="0F1115"/>
          <w:kern w:val="0"/>
          <w:sz w:val="24"/>
          <w:szCs w:val="24"/>
          <w:lang w:eastAsia="zh-CN"/>
        </w:rPr>
        <w:t>（</w:t>
      </w:r>
      <w:r>
        <w:rPr>
          <w:rFonts w:hint="eastAsia" w:ascii="Segoe UI" w:hAnsi="Segoe UI" w:eastAsia="宋体" w:cs="Segoe UI"/>
          <w:b/>
          <w:bCs/>
          <w:color w:val="0F1115"/>
          <w:kern w:val="0"/>
          <w:sz w:val="24"/>
          <w:szCs w:val="24"/>
        </w:rPr>
        <w:t>侧重定价、评估、风险管理与数据建模</w:t>
      </w:r>
      <w:r>
        <w:rPr>
          <w:rFonts w:hint="eastAsia" w:ascii="Segoe UI" w:hAnsi="Segoe UI" w:cs="Segoe UI"/>
          <w:b/>
          <w:bCs/>
          <w:color w:val="0F1115"/>
          <w:kern w:val="0"/>
          <w:sz w:val="24"/>
          <w:szCs w:val="24"/>
          <w:lang w:eastAsia="zh-CN"/>
        </w:rPr>
        <w:t>）</w:t>
      </w:r>
    </w:p>
    <w:p w14:paraId="6AC030B1">
      <w:pPr>
        <w:widowControl/>
        <w:rPr>
          <w:rFonts w:hint="eastAsia" w:cs="宋体"/>
          <w:sz w:val="24"/>
        </w:rPr>
      </w:pPr>
      <w:r>
        <w:rPr>
          <w:rFonts w:hint="eastAsia" w:cs="宋体"/>
          <w:sz w:val="24"/>
        </w:rPr>
        <w:t>1.气候风险对财产保险业的挑战与应对策略</w:t>
      </w:r>
    </w:p>
    <w:p w14:paraId="3D7DBE0E">
      <w:pPr>
        <w:widowControl/>
        <w:rPr>
          <w:rFonts w:hint="eastAsia" w:cs="宋体"/>
          <w:sz w:val="24"/>
        </w:rPr>
      </w:pPr>
      <w:r>
        <w:rPr>
          <w:rFonts w:hint="eastAsia" w:cs="宋体"/>
          <w:sz w:val="24"/>
        </w:rPr>
        <w:t>2.“偿二代”二期工程</w:t>
      </w:r>
    </w:p>
    <w:p w14:paraId="32FE004F">
      <w:pPr>
        <w:widowControl/>
        <w:rPr>
          <w:rFonts w:hint="eastAsia" w:cs="宋体"/>
          <w:sz w:val="24"/>
        </w:rPr>
      </w:pPr>
      <w:r>
        <w:rPr>
          <w:rFonts w:hint="eastAsia" w:cs="宋体"/>
          <w:sz w:val="24"/>
        </w:rPr>
        <w:t>3.保险资产负债匹配管理</w:t>
      </w:r>
    </w:p>
    <w:p w14:paraId="6B88CA5E">
      <w:pPr>
        <w:widowControl/>
        <w:rPr>
          <w:rFonts w:hint="eastAsia" w:cs="宋体"/>
          <w:sz w:val="24"/>
        </w:rPr>
      </w:pPr>
      <w:r>
        <w:rPr>
          <w:rFonts w:hint="eastAsia" w:cs="宋体"/>
          <w:sz w:val="24"/>
        </w:rPr>
        <w:t>4.保险资金运用风险相关研究</w:t>
      </w:r>
    </w:p>
    <w:p w14:paraId="428B8B52">
      <w:pPr>
        <w:widowControl/>
        <w:rPr>
          <w:rFonts w:hint="eastAsia" w:cs="宋体"/>
          <w:sz w:val="24"/>
        </w:rPr>
      </w:pPr>
      <w:r>
        <w:rPr>
          <w:rFonts w:hint="eastAsia" w:cs="宋体"/>
          <w:sz w:val="24"/>
        </w:rPr>
        <w:t>5.基于使用的机动车保险（UBI定价模型）</w:t>
      </w:r>
    </w:p>
    <w:p w14:paraId="10020E5C">
      <w:pPr>
        <w:widowControl/>
        <w:rPr>
          <w:rFonts w:hint="eastAsia" w:cs="宋体"/>
          <w:sz w:val="24"/>
        </w:rPr>
      </w:pPr>
      <w:r>
        <w:rPr>
          <w:rFonts w:hint="eastAsia" w:cs="宋体"/>
          <w:sz w:val="24"/>
        </w:rPr>
        <w:t>6.新能源汽车保险（风险定价与索赔分布）</w:t>
      </w:r>
    </w:p>
    <w:p w14:paraId="6BA36138">
      <w:pPr>
        <w:widowControl/>
        <w:rPr>
          <w:rFonts w:hint="eastAsia" w:cs="宋体"/>
          <w:sz w:val="24"/>
        </w:rPr>
      </w:pPr>
      <w:r>
        <w:rPr>
          <w:rFonts w:hint="eastAsia" w:cs="宋体"/>
          <w:sz w:val="24"/>
        </w:rPr>
        <w:t>7.自动驾驶技术发展对车险的影响</w:t>
      </w:r>
    </w:p>
    <w:p w14:paraId="41284D86">
      <w:pPr>
        <w:widowControl/>
        <w:rPr>
          <w:rFonts w:hint="eastAsia" w:cs="宋体"/>
          <w:sz w:val="24"/>
        </w:rPr>
      </w:pPr>
      <w:r>
        <w:rPr>
          <w:rFonts w:hint="eastAsia" w:cs="宋体"/>
          <w:sz w:val="24"/>
        </w:rPr>
        <w:t>8.农业保险大灾风险分散机制</w:t>
      </w:r>
    </w:p>
    <w:p w14:paraId="6EFD7049">
      <w:pPr>
        <w:widowControl/>
        <w:rPr>
          <w:rFonts w:hint="eastAsia" w:cs="宋体"/>
          <w:sz w:val="24"/>
        </w:rPr>
      </w:pPr>
      <w:r>
        <w:rPr>
          <w:rFonts w:hint="eastAsia" w:cs="宋体"/>
          <w:sz w:val="24"/>
        </w:rPr>
        <w:t>9.粮食作物完全成本保险和种植收入保险相关问题研究</w:t>
      </w:r>
    </w:p>
    <w:p w14:paraId="09287A21">
      <w:pPr>
        <w:widowControl/>
        <w:rPr>
          <w:rFonts w:hint="eastAsia" w:cs="宋体"/>
          <w:sz w:val="24"/>
        </w:rPr>
      </w:pPr>
      <w:r>
        <w:rPr>
          <w:rFonts w:hint="eastAsia" w:cs="宋体"/>
          <w:sz w:val="24"/>
        </w:rPr>
        <w:t>10.特色农产品保险相关研究</w:t>
      </w:r>
    </w:p>
    <w:p w14:paraId="7D7F4CAF">
      <w:pPr>
        <w:widowControl/>
        <w:rPr>
          <w:rFonts w:hint="eastAsia" w:cs="宋体"/>
          <w:sz w:val="24"/>
        </w:rPr>
      </w:pPr>
      <w:r>
        <w:rPr>
          <w:rFonts w:hint="eastAsia" w:cs="宋体"/>
          <w:sz w:val="24"/>
        </w:rPr>
        <w:t>11.全球政治风险与出口信用保险</w:t>
      </w:r>
    </w:p>
    <w:p w14:paraId="5D514FC5">
      <w:pPr>
        <w:widowControl/>
        <w:rPr>
          <w:rFonts w:hint="eastAsia" w:cs="宋体"/>
          <w:sz w:val="24"/>
        </w:rPr>
      </w:pPr>
      <w:r>
        <w:rPr>
          <w:rFonts w:hint="eastAsia" w:cs="宋体"/>
          <w:sz w:val="24"/>
        </w:rPr>
        <w:t>12.非寿险准备金评估中的不确定性量化研究</w:t>
      </w:r>
    </w:p>
    <w:p w14:paraId="244C90D8">
      <w:pPr>
        <w:widowControl/>
        <w:rPr>
          <w:rFonts w:hint="eastAsia" w:cs="宋体"/>
          <w:sz w:val="24"/>
        </w:rPr>
      </w:pPr>
      <w:r>
        <w:rPr>
          <w:rFonts w:hint="eastAsia" w:cs="宋体"/>
          <w:sz w:val="24"/>
        </w:rPr>
        <w:t>13.多层次医疗保障制度建构与商业健康保险可持续发展</w:t>
      </w:r>
    </w:p>
    <w:p w14:paraId="4A2D98CB">
      <w:pPr>
        <w:widowControl/>
        <w:rPr>
          <w:rFonts w:hint="eastAsia" w:cs="宋体"/>
          <w:sz w:val="24"/>
        </w:rPr>
      </w:pPr>
      <w:r>
        <w:rPr>
          <w:rFonts w:hint="eastAsia" w:cs="宋体"/>
          <w:sz w:val="24"/>
        </w:rPr>
        <w:t>14.商业健康保险的市场走向及政策支持</w:t>
      </w:r>
    </w:p>
    <w:p w14:paraId="358A3E6B">
      <w:pPr>
        <w:widowControl/>
        <w:rPr>
          <w:rFonts w:hint="eastAsia" w:cs="宋体"/>
          <w:sz w:val="24"/>
        </w:rPr>
      </w:pPr>
      <w:r>
        <w:rPr>
          <w:rFonts w:hint="eastAsia" w:cs="宋体"/>
          <w:sz w:val="24"/>
        </w:rPr>
        <w:t>15.数字化时代医-保-养等跨界业态孵化</w:t>
      </w:r>
    </w:p>
    <w:p w14:paraId="2EA8300D">
      <w:pPr>
        <w:widowControl/>
        <w:rPr>
          <w:rFonts w:hint="eastAsia" w:cs="宋体"/>
          <w:sz w:val="24"/>
        </w:rPr>
      </w:pPr>
      <w:r>
        <w:rPr>
          <w:rFonts w:hint="eastAsia" w:cs="宋体"/>
          <w:sz w:val="24"/>
        </w:rPr>
        <w:t>16.重特大疾病保障缺口与多层次保障体系建设</w:t>
      </w:r>
    </w:p>
    <w:p w14:paraId="7E53C790">
      <w:pPr>
        <w:widowControl/>
        <w:rPr>
          <w:rFonts w:hint="eastAsia" w:cs="宋体"/>
          <w:sz w:val="24"/>
        </w:rPr>
      </w:pPr>
      <w:r>
        <w:rPr>
          <w:rFonts w:hint="eastAsia" w:cs="宋体"/>
          <w:sz w:val="24"/>
        </w:rPr>
        <w:t>17.长护险的环境、定价与保险经办研究</w:t>
      </w:r>
    </w:p>
    <w:p w14:paraId="7A9F5BAC">
      <w:pPr>
        <w:widowControl/>
        <w:rPr>
          <w:rFonts w:hint="eastAsia" w:cs="宋体"/>
          <w:sz w:val="24"/>
        </w:rPr>
      </w:pPr>
      <w:r>
        <w:rPr>
          <w:rFonts w:hint="eastAsia" w:cs="宋体"/>
          <w:sz w:val="24"/>
        </w:rPr>
        <w:t>18.医疗保险信息不对称问题</w:t>
      </w:r>
    </w:p>
    <w:p w14:paraId="31399BCA">
      <w:pPr>
        <w:widowControl/>
        <w:rPr>
          <w:rFonts w:hint="eastAsia" w:cs="宋体"/>
          <w:sz w:val="24"/>
        </w:rPr>
      </w:pPr>
      <w:r>
        <w:rPr>
          <w:rFonts w:hint="eastAsia" w:cs="宋体"/>
          <w:sz w:val="24"/>
        </w:rPr>
        <w:t>19.老龄化社会、临终关怀与和缓医疗保险</w:t>
      </w:r>
    </w:p>
    <w:p w14:paraId="3F683AEB">
      <w:pPr>
        <w:widowControl/>
        <w:rPr>
          <w:rFonts w:hint="eastAsia" w:cs="宋体"/>
          <w:sz w:val="24"/>
        </w:rPr>
      </w:pPr>
      <w:r>
        <w:rPr>
          <w:rFonts w:hint="eastAsia" w:cs="宋体"/>
          <w:sz w:val="24"/>
        </w:rPr>
        <w:t>20.养老金融体系研究</w:t>
      </w:r>
    </w:p>
    <w:p w14:paraId="2E56DC7E">
      <w:pPr>
        <w:widowControl/>
        <w:rPr>
          <w:rFonts w:hint="eastAsia" w:cs="宋体"/>
          <w:sz w:val="24"/>
        </w:rPr>
      </w:pPr>
      <w:r>
        <w:rPr>
          <w:rFonts w:hint="eastAsia" w:cs="宋体"/>
          <w:sz w:val="24"/>
        </w:rPr>
        <w:t>21.多支柱养老金体系与商业养老保险发展</w:t>
      </w:r>
    </w:p>
    <w:p w14:paraId="04CA33A4">
      <w:pPr>
        <w:widowControl/>
        <w:rPr>
          <w:rFonts w:hint="eastAsia" w:cs="宋体"/>
          <w:sz w:val="24"/>
        </w:rPr>
      </w:pPr>
      <w:r>
        <w:rPr>
          <w:rFonts w:hint="eastAsia" w:cs="宋体"/>
          <w:sz w:val="24"/>
        </w:rPr>
        <w:t>22.适老保险产品与服务创新、国际养老保险产品比较</w:t>
      </w:r>
    </w:p>
    <w:p w14:paraId="78F05C05">
      <w:pPr>
        <w:widowControl/>
        <w:rPr>
          <w:rFonts w:hint="eastAsia" w:cs="宋体"/>
          <w:sz w:val="24"/>
        </w:rPr>
      </w:pPr>
      <w:r>
        <w:rPr>
          <w:rFonts w:hint="eastAsia" w:cs="宋体"/>
          <w:sz w:val="24"/>
        </w:rPr>
        <w:t>23.保险参与康养产业的实践与政策</w:t>
      </w:r>
    </w:p>
    <w:p w14:paraId="25CD3899">
      <w:pPr>
        <w:widowControl/>
        <w:rPr>
          <w:rFonts w:hint="eastAsia" w:cs="宋体"/>
          <w:sz w:val="24"/>
        </w:rPr>
      </w:pPr>
      <w:r>
        <w:rPr>
          <w:rFonts w:hint="eastAsia" w:cs="宋体"/>
          <w:sz w:val="24"/>
        </w:rPr>
        <w:t>24.长寿风险证券化与长寿债券的设计研究</w:t>
      </w:r>
    </w:p>
    <w:p w14:paraId="7F846CE5">
      <w:pPr>
        <w:widowControl/>
        <w:rPr>
          <w:rFonts w:hint="eastAsia" w:cs="宋体"/>
          <w:sz w:val="24"/>
        </w:rPr>
      </w:pPr>
      <w:r>
        <w:rPr>
          <w:rFonts w:hint="eastAsia" w:cs="宋体"/>
          <w:sz w:val="24"/>
        </w:rPr>
        <w:t>25.保险公司个人养老保险产品投资模式</w:t>
      </w:r>
    </w:p>
    <w:p w14:paraId="6D7A9F19">
      <w:pPr>
        <w:widowControl/>
        <w:rPr>
          <w:rFonts w:hint="eastAsia" w:cs="宋体"/>
          <w:sz w:val="24"/>
        </w:rPr>
      </w:pPr>
      <w:r>
        <w:rPr>
          <w:rFonts w:hint="eastAsia" w:cs="宋体"/>
          <w:sz w:val="24"/>
        </w:rPr>
        <w:t>26.健康预期寿命测度与应用</w:t>
      </w:r>
    </w:p>
    <w:p w14:paraId="7CC2F806">
      <w:pPr>
        <w:widowControl/>
        <w:rPr>
          <w:rFonts w:hint="eastAsia" w:cs="宋体"/>
          <w:sz w:val="24"/>
        </w:rPr>
      </w:pPr>
      <w:r>
        <w:rPr>
          <w:rFonts w:hint="eastAsia" w:cs="宋体"/>
          <w:sz w:val="24"/>
        </w:rPr>
        <w:t>27.保险科技的应用现状及发展趋势（精算建模与大数据）</w:t>
      </w:r>
    </w:p>
    <w:p w14:paraId="11FD54C0">
      <w:pPr>
        <w:widowControl/>
        <w:rPr>
          <w:rFonts w:hint="eastAsia" w:cs="宋体"/>
          <w:sz w:val="24"/>
        </w:rPr>
      </w:pPr>
      <w:r>
        <w:rPr>
          <w:rFonts w:hint="eastAsia" w:cs="宋体"/>
          <w:sz w:val="24"/>
        </w:rPr>
        <w:t>28.数字经济下保险业的创新发展</w:t>
      </w:r>
    </w:p>
    <w:p w14:paraId="5219DA07">
      <w:pPr>
        <w:widowControl/>
        <w:rPr>
          <w:rFonts w:hint="eastAsia" w:cs="宋体"/>
          <w:sz w:val="24"/>
        </w:rPr>
      </w:pPr>
      <w:r>
        <w:rPr>
          <w:rFonts w:hint="eastAsia" w:cs="宋体"/>
          <w:sz w:val="24"/>
        </w:rPr>
        <w:t>29.普惠保险</w:t>
      </w:r>
    </w:p>
    <w:p w14:paraId="320983EE">
      <w:pPr>
        <w:widowControl/>
        <w:rPr>
          <w:rFonts w:hint="eastAsia" w:cs="宋体"/>
          <w:sz w:val="24"/>
        </w:rPr>
      </w:pPr>
      <w:r>
        <w:rPr>
          <w:rFonts w:hint="eastAsia" w:cs="宋体"/>
          <w:sz w:val="24"/>
        </w:rPr>
        <w:t>30.车险综合改革的评估与深化</w:t>
      </w: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452885"/>
    <w:multiLevelType w:val="multilevel"/>
    <w:tmpl w:val="49452885"/>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A676734"/>
    <w:multiLevelType w:val="multilevel"/>
    <w:tmpl w:val="5A676734"/>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ZiMWZmMTQ1YjEyNzRiM2EwZDk0OTE1OTk5ODU5N2EifQ=="/>
  </w:docVars>
  <w:rsids>
    <w:rsidRoot w:val="001C4495"/>
    <w:rsid w:val="000163F4"/>
    <w:rsid w:val="0003543C"/>
    <w:rsid w:val="00042939"/>
    <w:rsid w:val="00044315"/>
    <w:rsid w:val="00060172"/>
    <w:rsid w:val="00077D37"/>
    <w:rsid w:val="000906B2"/>
    <w:rsid w:val="000B6701"/>
    <w:rsid w:val="000C658C"/>
    <w:rsid w:val="000F1130"/>
    <w:rsid w:val="00100479"/>
    <w:rsid w:val="00103E8F"/>
    <w:rsid w:val="00104BC2"/>
    <w:rsid w:val="00133C49"/>
    <w:rsid w:val="00136915"/>
    <w:rsid w:val="00147D95"/>
    <w:rsid w:val="00173537"/>
    <w:rsid w:val="001C4495"/>
    <w:rsid w:val="001E1864"/>
    <w:rsid w:val="001E3062"/>
    <w:rsid w:val="0020584B"/>
    <w:rsid w:val="00216E9C"/>
    <w:rsid w:val="002714C5"/>
    <w:rsid w:val="00276789"/>
    <w:rsid w:val="002B127B"/>
    <w:rsid w:val="002F10E9"/>
    <w:rsid w:val="00302AF9"/>
    <w:rsid w:val="003116E2"/>
    <w:rsid w:val="00340BFC"/>
    <w:rsid w:val="00366994"/>
    <w:rsid w:val="0039085A"/>
    <w:rsid w:val="004126B9"/>
    <w:rsid w:val="0041662B"/>
    <w:rsid w:val="00424168"/>
    <w:rsid w:val="0046191E"/>
    <w:rsid w:val="004645E8"/>
    <w:rsid w:val="004756EB"/>
    <w:rsid w:val="004A6FFB"/>
    <w:rsid w:val="004B7126"/>
    <w:rsid w:val="00532AFE"/>
    <w:rsid w:val="00544692"/>
    <w:rsid w:val="005518A2"/>
    <w:rsid w:val="00563057"/>
    <w:rsid w:val="005A44E5"/>
    <w:rsid w:val="005B5BE9"/>
    <w:rsid w:val="005B7899"/>
    <w:rsid w:val="005D2226"/>
    <w:rsid w:val="005D5863"/>
    <w:rsid w:val="005E6BD9"/>
    <w:rsid w:val="00623709"/>
    <w:rsid w:val="00670D00"/>
    <w:rsid w:val="006959F8"/>
    <w:rsid w:val="00695B09"/>
    <w:rsid w:val="00695C0F"/>
    <w:rsid w:val="006E6025"/>
    <w:rsid w:val="006F31F8"/>
    <w:rsid w:val="00713A12"/>
    <w:rsid w:val="007145F7"/>
    <w:rsid w:val="00723A9C"/>
    <w:rsid w:val="0073005B"/>
    <w:rsid w:val="00745A21"/>
    <w:rsid w:val="007476A0"/>
    <w:rsid w:val="00760D62"/>
    <w:rsid w:val="00762C4C"/>
    <w:rsid w:val="007630FA"/>
    <w:rsid w:val="00767676"/>
    <w:rsid w:val="007B0F60"/>
    <w:rsid w:val="007B1714"/>
    <w:rsid w:val="00876196"/>
    <w:rsid w:val="00876335"/>
    <w:rsid w:val="008876CE"/>
    <w:rsid w:val="008A4C6B"/>
    <w:rsid w:val="008D1115"/>
    <w:rsid w:val="008D38BF"/>
    <w:rsid w:val="008D3AA5"/>
    <w:rsid w:val="008D7C25"/>
    <w:rsid w:val="008F19C9"/>
    <w:rsid w:val="008F73FB"/>
    <w:rsid w:val="00914084"/>
    <w:rsid w:val="00956D06"/>
    <w:rsid w:val="009763D8"/>
    <w:rsid w:val="009914EB"/>
    <w:rsid w:val="009B56E8"/>
    <w:rsid w:val="00A47490"/>
    <w:rsid w:val="00A92FAD"/>
    <w:rsid w:val="00AC3E22"/>
    <w:rsid w:val="00AE1449"/>
    <w:rsid w:val="00B03008"/>
    <w:rsid w:val="00B14A13"/>
    <w:rsid w:val="00B1634A"/>
    <w:rsid w:val="00B27CD7"/>
    <w:rsid w:val="00B87EE0"/>
    <w:rsid w:val="00BA4915"/>
    <w:rsid w:val="00BB2EF9"/>
    <w:rsid w:val="00BB4F1A"/>
    <w:rsid w:val="00BD0458"/>
    <w:rsid w:val="00BD136E"/>
    <w:rsid w:val="00C21C35"/>
    <w:rsid w:val="00C23A81"/>
    <w:rsid w:val="00C23C7D"/>
    <w:rsid w:val="00C44142"/>
    <w:rsid w:val="00C60C57"/>
    <w:rsid w:val="00C6226B"/>
    <w:rsid w:val="00C7641A"/>
    <w:rsid w:val="00C80C9B"/>
    <w:rsid w:val="00CE36C0"/>
    <w:rsid w:val="00D26420"/>
    <w:rsid w:val="00D45D34"/>
    <w:rsid w:val="00D57D0D"/>
    <w:rsid w:val="00DF2585"/>
    <w:rsid w:val="00DF5B1B"/>
    <w:rsid w:val="00DF7CBD"/>
    <w:rsid w:val="00E00168"/>
    <w:rsid w:val="00E005A2"/>
    <w:rsid w:val="00E05C9C"/>
    <w:rsid w:val="00E42468"/>
    <w:rsid w:val="00E55C13"/>
    <w:rsid w:val="00E949E1"/>
    <w:rsid w:val="00F0496A"/>
    <w:rsid w:val="00F277E3"/>
    <w:rsid w:val="00F331EE"/>
    <w:rsid w:val="00F3526F"/>
    <w:rsid w:val="00F40E4B"/>
    <w:rsid w:val="00F62BA3"/>
    <w:rsid w:val="00F705AB"/>
    <w:rsid w:val="00F774CF"/>
    <w:rsid w:val="00FA03FD"/>
    <w:rsid w:val="00FD09B0"/>
    <w:rsid w:val="00FE2131"/>
    <w:rsid w:val="04A76BEC"/>
    <w:rsid w:val="2F3E6E57"/>
    <w:rsid w:val="2F5914DE"/>
    <w:rsid w:val="37316E8A"/>
    <w:rsid w:val="39352F28"/>
    <w:rsid w:val="5D945469"/>
    <w:rsid w:val="72C82401"/>
    <w:rsid w:val="740F541A"/>
    <w:rsid w:val="786DE206"/>
    <w:rsid w:val="7F4506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Plain Text"/>
    <w:basedOn w:val="1"/>
    <w:link w:val="7"/>
    <w:uiPriority w:val="0"/>
    <w:rPr>
      <w:rFonts w:ascii="宋体" w:hAnsi="Courier New"/>
      <w:szCs w:val="21"/>
    </w:rPr>
  </w:style>
  <w:style w:type="paragraph" w:styleId="3">
    <w:name w:val="footer"/>
    <w:basedOn w:val="1"/>
    <w:link w:val="8"/>
    <w:uiPriority w:val="0"/>
    <w:pPr>
      <w:tabs>
        <w:tab w:val="center" w:pos="4153"/>
        <w:tab w:val="right" w:pos="8306"/>
      </w:tabs>
      <w:snapToGrid w:val="0"/>
      <w:jc w:val="left"/>
    </w:pPr>
    <w:rPr>
      <w:sz w:val="18"/>
      <w:szCs w:val="18"/>
    </w:rPr>
  </w:style>
  <w:style w:type="paragraph" w:styleId="4">
    <w:name w:val="header"/>
    <w:basedOn w:val="1"/>
    <w:link w:val="9"/>
    <w:uiPriority w:val="0"/>
    <w:pPr>
      <w:pBdr>
        <w:bottom w:val="single" w:color="auto" w:sz="6" w:space="1"/>
      </w:pBdr>
      <w:tabs>
        <w:tab w:val="center" w:pos="4153"/>
        <w:tab w:val="right" w:pos="8306"/>
      </w:tabs>
      <w:snapToGrid w:val="0"/>
      <w:jc w:val="center"/>
    </w:pPr>
    <w:rPr>
      <w:sz w:val="18"/>
      <w:szCs w:val="18"/>
    </w:rPr>
  </w:style>
  <w:style w:type="character" w:customStyle="1" w:styleId="7">
    <w:name w:val="纯文本 字符"/>
    <w:link w:val="2"/>
    <w:uiPriority w:val="0"/>
    <w:rPr>
      <w:rFonts w:ascii="宋体" w:hAnsi="Courier New" w:cs="Courier New"/>
      <w:kern w:val="2"/>
      <w:sz w:val="21"/>
      <w:szCs w:val="21"/>
    </w:rPr>
  </w:style>
  <w:style w:type="character" w:customStyle="1" w:styleId="8">
    <w:name w:val="页脚 字符"/>
    <w:link w:val="3"/>
    <w:uiPriority w:val="0"/>
    <w:rPr>
      <w:kern w:val="2"/>
      <w:sz w:val="18"/>
      <w:szCs w:val="18"/>
    </w:rPr>
  </w:style>
  <w:style w:type="character" w:customStyle="1" w:styleId="9">
    <w:name w:val="页眉 字符"/>
    <w:link w:val="4"/>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4496</Words>
  <Characters>4967</Characters>
  <Lines>6</Lines>
  <Paragraphs>10</Paragraphs>
  <TotalTime>0</TotalTime>
  <ScaleCrop>false</ScaleCrop>
  <LinksUpToDate>false</LinksUpToDate>
  <CharactersWithSpaces>5053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2025-10-23T08:33:00Z</dcterms:created>
  <dc:creator>曾志耕</dc:creator>
  <cp:lastModifiedBy>zzl</cp:lastModifiedBy>
  <dcterms:modified xsi:type="dcterms:W3CDTF">2025-10-28T03:53:38Z</dcterms:modified>
  <dc:title>&lt;&lt;金融学院2005级本科生毕业论文选题&gt;</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8A71ECEDCFFE4EB3B4BD928002EB785D_13</vt:lpwstr>
  </property>
  <property fmtid="{D5CDD505-2E9C-101B-9397-08002B2CF9AE}" pid="4" name="KSOTemplateDocerSaveRecord">
    <vt:lpwstr>eyJoZGlkIjoiNmI0NjVmM2ZiYzU0MGFlMDM2Mjg2Njg2MDI4NzQyYjMiLCJ1c2VySWQiOiIzOTg0MjU0OTEifQ==</vt:lpwstr>
  </property>
</Properties>
</file>